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大厂回族自治县城市管理综合行政执法局</w:t>
      </w: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大厂回族自治县大厂回族自治县城市管理综合行政执法局</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w:t>
      </w:r>
      <w:r>
        <w:rPr>
          <w:rFonts w:hint="eastAsia" w:ascii="仿宋" w:hAnsi="仿宋" w:eastAsia="仿宋" w:cs="Times New Roman"/>
          <w:sz w:val="32"/>
          <w:szCs w:val="32"/>
          <w:lang w:val="en-US" w:eastAsia="zh-CN"/>
        </w:rPr>
        <w:t>单位</w:t>
      </w:r>
      <w:r>
        <w:rPr>
          <w:rFonts w:ascii="仿宋" w:hAnsi="仿宋" w:eastAsia="仿宋" w:cs="Times New Roman"/>
          <w:sz w:val="32"/>
          <w:szCs w:val="32"/>
        </w:rPr>
        <w:t>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lang w:val="en-US" w:eastAsia="zh-CN"/>
        </w:rPr>
        <w:t>单位</w:t>
      </w:r>
      <w:r>
        <w:rPr>
          <w:rFonts w:ascii="黑体" w:hAnsi="黑体" w:eastAsia="黑体" w:cs="Times New Roman"/>
          <w:sz w:val="32"/>
          <w:szCs w:val="32"/>
        </w:rPr>
        <w:t>职责及机构设置情况</w:t>
      </w: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lang w:val="en-US" w:eastAsia="zh-CN"/>
        </w:rPr>
        <w:t>单位</w:t>
      </w:r>
      <w:r>
        <w:rPr>
          <w:rFonts w:ascii="楷体" w:hAnsi="楷体" w:eastAsia="楷体" w:cs="Times New Roman"/>
          <w:b/>
          <w:sz w:val="32"/>
          <w:szCs w:val="32"/>
        </w:rPr>
        <w:t>职责：</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sz w:val="32"/>
          <w:szCs w:val="32"/>
        </w:rPr>
        <w:t>贯彻落实党中央和省委、市委、县委关于城市管理综合行政执法工作的方针政策和决策部署，坚持和加强党对城市管理综合行政执法工作的集中统一领导。主要职责是：</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sz w:val="32"/>
          <w:szCs w:val="32"/>
        </w:rPr>
        <w:t>（一）贯彻落实国家和省、市、县关于城市管理综合行政执法工作的法律、法规、规章及相关政策；拟定全县城市管理综合行政执法的地方性法规、规章草案，制定相关政策、制度和发展规划并组织实施；统筹全县城市管理综合行政执法的改革与发展。</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sz w:val="32"/>
          <w:szCs w:val="32"/>
        </w:rPr>
        <w:t>行使市容环境卫生管理方面法律、法规、规章规定的全部行政处罚权；履行市容环境卫生管理方面法律、法规、规章规定的有关职责。</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sz w:val="32"/>
          <w:szCs w:val="32"/>
        </w:rPr>
        <w:t>行使城乡规划管理方面法律、法规、规章规定的全部行政处罚权。</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sz w:val="32"/>
          <w:szCs w:val="32"/>
        </w:rPr>
        <w:t>行使城市绿化管理方面法律、法规、规章规定的全部行政处罚权。</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sz w:val="32"/>
          <w:szCs w:val="32"/>
        </w:rPr>
        <w:t>行使市场监督管理方面法律、法规、规章规定的对户外公共场所无照经营行为的行政处罚权。</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sz w:val="32"/>
          <w:szCs w:val="32"/>
        </w:rPr>
        <w:t>行使市政、公用设施管理方面法律、法规、规章规定的全部行政处罚权。</w:t>
      </w:r>
      <w:r>
        <w:rPr>
          <w:rFonts w:ascii="仿宋" w:eastAsia="仿宋"/>
          <w:sz w:val="32"/>
          <w:szCs w:val="32"/>
        </w:rPr>
        <w:t> </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sz w:val="32"/>
          <w:szCs w:val="32"/>
        </w:rPr>
        <w:t>负责编制城区户外广告、招牌设置规划和技术规范；负责城区户外广告和张贴张挂宣传品的审批、监督和管理工作。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sz w:val="32"/>
          <w:szCs w:val="32"/>
        </w:rPr>
        <w:t>依据有关法律、法规、规章，负责城市管理相关规定、通告、通知等规范性文件的起草、宣传、贯彻落实工作。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sz w:val="32"/>
          <w:szCs w:val="32"/>
        </w:rPr>
        <w:t>负责受理上级批转的信访案件和群众举报案件及办理人大、政协建议、提案工作。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sz w:val="32"/>
          <w:szCs w:val="32"/>
        </w:rPr>
        <w:t>负责对各镇（区、街道）城市管理综合行政执法工作的业务指导、检查、督导、协调等工作。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sz w:val="32"/>
          <w:szCs w:val="32"/>
        </w:rPr>
        <w:t>负责干部职工思想政治教育及业务培训工作，局内党（团）员的发展、教育、管理工作，工青妇及安全保卫工作。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sz w:val="32"/>
          <w:szCs w:val="32"/>
        </w:rPr>
        <w:t>县委、</w:t>
      </w:r>
      <w:r>
        <w:rPr>
          <w:rFonts w:hint="eastAsia" w:ascii="仿宋" w:hAnsi="仿宋" w:eastAsia="仿宋"/>
          <w:sz w:val="32"/>
          <w:szCs w:val="32"/>
          <w:lang w:val="en-US" w:eastAsia="zh-CN"/>
        </w:rPr>
        <w:t>县</w:t>
      </w:r>
      <w:bookmarkStart w:id="1" w:name="_GoBack"/>
      <w:bookmarkEnd w:id="1"/>
      <w:r>
        <w:rPr>
          <w:rFonts w:ascii="仿宋" w:hAnsi="仿宋" w:eastAsia="仿宋"/>
          <w:sz w:val="32"/>
          <w:szCs w:val="32"/>
        </w:rPr>
        <w:t>政府交办的其他事项。</w:t>
      </w: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44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大厂回族自治县城市管理综合行政执法局</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90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大厂回族自治县城市管理综合行政执法局</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rPr>
        <w:t>7150.38</w:t>
      </w:r>
      <w:r>
        <w:rPr>
          <w:rFonts w:ascii="仿宋" w:hAnsi="仿宋" w:eastAsia="仿宋" w:cs="Times New Roman"/>
          <w:sz w:val="32"/>
          <w:szCs w:val="32"/>
        </w:rPr>
        <w:t>万元，其中：一般公共预算收入</w:t>
      </w:r>
      <w:r>
        <w:rPr>
          <w:rFonts w:hint="eastAsia" w:ascii="仿宋" w:hAnsi="仿宋" w:eastAsia="仿宋" w:cs="Times New Roman"/>
          <w:sz w:val="32"/>
          <w:szCs w:val="32"/>
        </w:rPr>
        <w:t>2150.38</w:t>
      </w:r>
      <w:r>
        <w:rPr>
          <w:rFonts w:ascii="仿宋" w:hAnsi="仿宋" w:eastAsia="仿宋" w:cs="Times New Roman"/>
          <w:sz w:val="32"/>
          <w:szCs w:val="32"/>
        </w:rPr>
        <w:t>万元，基金预算收入</w:t>
      </w:r>
      <w:r>
        <w:rPr>
          <w:rFonts w:hint="eastAsia" w:ascii="仿宋" w:hAnsi="仿宋" w:eastAsia="仿宋" w:cs="Times New Roman"/>
          <w:sz w:val="32"/>
          <w:szCs w:val="32"/>
        </w:rPr>
        <w:t>5000</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rPr>
        <w:t>0万元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 w:hAnsi="仿宋" w:eastAsia="仿宋"/>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大厂回族自治县城市管理综合行政执法局2022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rPr>
        <w:t>7150.38</w:t>
      </w:r>
      <w:r>
        <w:rPr>
          <w:rFonts w:ascii="仿宋" w:hAnsi="仿宋" w:eastAsia="仿宋" w:cs="Times New Roman"/>
          <w:sz w:val="32"/>
          <w:szCs w:val="32"/>
        </w:rPr>
        <w:t>万元，其中基本支出</w:t>
      </w:r>
      <w:r>
        <w:rPr>
          <w:rFonts w:hint="eastAsia" w:ascii="仿宋" w:hAnsi="仿宋" w:eastAsia="仿宋" w:cs="Times New Roman"/>
          <w:sz w:val="32"/>
          <w:szCs w:val="32"/>
        </w:rPr>
        <w:t>841.75</w:t>
      </w:r>
      <w:r>
        <w:rPr>
          <w:rFonts w:ascii="仿宋" w:hAnsi="仿宋" w:eastAsia="仿宋" w:cs="Times New Roman"/>
          <w:sz w:val="32"/>
          <w:szCs w:val="32"/>
        </w:rPr>
        <w:t>万元，包括人员类项目经费</w:t>
      </w:r>
      <w:r>
        <w:rPr>
          <w:rFonts w:hint="eastAsia" w:ascii="仿宋" w:hAnsi="仿宋" w:eastAsia="仿宋" w:cs="Times New Roman"/>
          <w:sz w:val="32"/>
          <w:szCs w:val="32"/>
        </w:rPr>
        <w:t>728.07</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113.68</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308.63</w:t>
      </w:r>
      <w:r>
        <w:rPr>
          <w:rFonts w:ascii="仿宋" w:hAnsi="仿宋" w:eastAsia="仿宋" w:cs="Times New Roman"/>
          <w:sz w:val="32"/>
          <w:szCs w:val="32"/>
        </w:rPr>
        <w:t>万元，</w:t>
      </w:r>
      <w:r>
        <w:rPr>
          <w:rFonts w:hint="eastAsia" w:ascii="仿宋" w:hAnsi="仿宋" w:eastAsia="仿宋"/>
          <w:sz w:val="32"/>
          <w:szCs w:val="32"/>
        </w:rPr>
        <w:t>主要为垃圾处理场、PPP等项目支出。</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rPr>
        <w:t>7150.38</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年预算减少</w:t>
      </w:r>
      <w:r>
        <w:rPr>
          <w:rFonts w:hint="eastAsia" w:ascii="仿宋" w:hAnsi="仿宋" w:eastAsia="仿宋" w:cs="Times New Roman"/>
          <w:sz w:val="32"/>
          <w:szCs w:val="32"/>
        </w:rPr>
        <w:t>4317.17</w:t>
      </w:r>
      <w:r>
        <w:rPr>
          <w:rFonts w:ascii="仿宋" w:hAnsi="仿宋" w:eastAsia="仿宋" w:cs="Times New Roman"/>
          <w:sz w:val="32"/>
          <w:szCs w:val="32"/>
        </w:rPr>
        <w:t>万元，其中：基本支出减少</w:t>
      </w:r>
      <w:r>
        <w:rPr>
          <w:rFonts w:hint="eastAsia" w:ascii="仿宋" w:hAnsi="仿宋" w:eastAsia="仿宋" w:cs="Times New Roman"/>
          <w:sz w:val="32"/>
          <w:szCs w:val="32"/>
        </w:rPr>
        <w:t>15.28</w:t>
      </w:r>
      <w:r>
        <w:rPr>
          <w:rFonts w:ascii="仿宋" w:hAnsi="仿宋" w:eastAsia="仿宋" w:cs="Times New Roman"/>
          <w:sz w:val="32"/>
          <w:szCs w:val="32"/>
        </w:rPr>
        <w:t>万元，主要为</w:t>
      </w:r>
      <w:r>
        <w:rPr>
          <w:rFonts w:hint="eastAsia" w:ascii="仿宋" w:hAnsi="仿宋" w:eastAsia="仿宋" w:cs="Times New Roman"/>
          <w:sz w:val="32"/>
          <w:szCs w:val="32"/>
        </w:rPr>
        <w:t>节约了人员经费</w:t>
      </w:r>
      <w:r>
        <w:rPr>
          <w:rFonts w:ascii="仿宋" w:hAnsi="仿宋" w:eastAsia="仿宋" w:cs="Times New Roman"/>
          <w:sz w:val="32"/>
          <w:szCs w:val="32"/>
        </w:rPr>
        <w:t>支出；项目减少</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201.89</w:t>
      </w:r>
      <w:r>
        <w:rPr>
          <w:rFonts w:ascii="仿宋" w:hAnsi="仿宋" w:eastAsia="仿宋" w:cs="Times New Roman"/>
          <w:sz w:val="32"/>
          <w:szCs w:val="32"/>
        </w:rPr>
        <w:t>万元，主要为</w:t>
      </w:r>
      <w:r>
        <w:rPr>
          <w:rFonts w:hint="eastAsia" w:ascii="仿宋" w:hAnsi="仿宋" w:eastAsia="仿宋" w:cs="Times New Roman"/>
          <w:sz w:val="32"/>
          <w:szCs w:val="32"/>
        </w:rPr>
        <w:t>减少了</w:t>
      </w:r>
      <w:r>
        <w:rPr>
          <w:rFonts w:ascii="仿宋" w:hAnsi="仿宋" w:eastAsia="仿宋"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年，我局机关运行经费共计安排</w:t>
      </w:r>
      <w:r>
        <w:rPr>
          <w:rFonts w:hint="eastAsia" w:ascii="仿宋" w:hAnsi="仿宋" w:eastAsia="仿宋" w:cs="Times New Roman"/>
          <w:sz w:val="32"/>
          <w:szCs w:val="32"/>
        </w:rPr>
        <w:t>113.68</w:t>
      </w:r>
      <w:r>
        <w:rPr>
          <w:rFonts w:ascii="仿宋" w:hAnsi="仿宋" w:eastAsia="仿宋"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rPr>
        <w:t>25.57</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25</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25</w:t>
      </w:r>
      <w:r>
        <w:rPr>
          <w:rFonts w:ascii="仿宋" w:hAnsi="仿宋" w:eastAsia="仿宋" w:cs="Times New Roman"/>
          <w:sz w:val="32"/>
          <w:szCs w:val="32"/>
        </w:rPr>
        <w:t>万元)；公务接待费</w:t>
      </w:r>
      <w:r>
        <w:rPr>
          <w:rFonts w:hint="eastAsia" w:ascii="仿宋" w:hAnsi="仿宋" w:eastAsia="仿宋" w:cs="Times New Roman"/>
          <w:sz w:val="32"/>
          <w:szCs w:val="32"/>
        </w:rPr>
        <w:t>0.57</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rPr>
        <w:t>持平，</w:t>
      </w:r>
      <w:r>
        <w:rPr>
          <w:rFonts w:hint="eastAsia" w:ascii="仿宋" w:hAnsi="仿宋" w:eastAsia="仿宋" w:cs="Times New Roman"/>
          <w:sz w:val="32"/>
          <w:szCs w:val="32"/>
        </w:rPr>
        <w:t>其中，</w:t>
      </w:r>
      <w:r>
        <w:rPr>
          <w:rFonts w:ascii="仿宋" w:hAnsi="仿宋" w:eastAsia="仿宋" w:cs="Times New Roman"/>
          <w:sz w:val="32"/>
          <w:szCs w:val="32"/>
        </w:rPr>
        <w:t>公务用车购置及运维费与20</w:t>
      </w:r>
      <w:r>
        <w:rPr>
          <w:rFonts w:hint="eastAsia" w:ascii="仿宋" w:hAnsi="仿宋" w:eastAsia="仿宋" w:cs="Times New Roman"/>
          <w:sz w:val="32"/>
          <w:szCs w:val="32"/>
        </w:rPr>
        <w:t>21</w:t>
      </w:r>
      <w:r>
        <w:rPr>
          <w:rFonts w:ascii="仿宋" w:hAnsi="仿宋" w:eastAsia="仿宋"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ind w:firstLine="560"/>
        <w:rPr>
          <w:rFonts w:ascii="方正仿宋_GBK" w:hAnsi="方正仿宋_GBK" w:eastAsia="方正仿宋_GBK" w:cs="方正仿宋_GBK"/>
          <w:b/>
          <w:color w:val="000000"/>
          <w:sz w:val="28"/>
        </w:rPr>
      </w:pPr>
    </w:p>
    <w:p>
      <w:pPr>
        <w:keepNext w:val="0"/>
        <w:keepLines w:val="0"/>
        <w:pageBreakBefore w:val="0"/>
        <w:kinsoku/>
        <w:wordWrap/>
        <w:overflowPunct/>
        <w:topLinePunct w:val="0"/>
        <w:bidi w:val="0"/>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kinsoku/>
        <w:wordWrap/>
        <w:overflowPunct/>
        <w:topLinePunct w:val="0"/>
        <w:bidi w:val="0"/>
        <w:snapToGrid/>
        <w:spacing w:line="584" w:lineRule="exact"/>
        <w:ind w:firstLine="560"/>
        <w:textAlignment w:val="auto"/>
        <w:rPr>
          <w:b/>
        </w:rPr>
      </w:pPr>
      <w:r>
        <w:rPr>
          <w:rFonts w:eastAsia="方正仿宋_GBK"/>
          <w:b/>
          <w:color w:val="000000"/>
          <w:sz w:val="28"/>
        </w:rPr>
        <w:t>（一）总体绩效目标</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2022年，我局将继续围绕县委、县政府的工作重心，与时俱进抓班子，求真务实带队伍。以</w:t>
      </w:r>
      <w:r>
        <w:rPr>
          <w:rFonts w:hint="eastAsia" w:ascii="仿宋_GB2312" w:hAnsi="Times New Roman" w:eastAsia="仿宋_GB2312" w:cs="Times New Roman"/>
          <w:sz w:val="32"/>
          <w:szCs w:val="32"/>
          <w:lang w:val="en-US" w:eastAsia="zh-CN"/>
        </w:rPr>
        <w:t>队伍建设</w:t>
      </w:r>
      <w:r>
        <w:rPr>
          <w:rFonts w:ascii="仿宋_GB2312" w:hAnsi="Times New Roman" w:eastAsia="仿宋_GB2312" w:cs="Times New Roman"/>
          <w:sz w:val="32"/>
          <w:szCs w:val="32"/>
        </w:rPr>
        <w:t>为核心，以创建人民满意为标准，多措并举，与时俱进，开拓创新，抢抓机遇，不断加强和改进</w:t>
      </w:r>
      <w:r>
        <w:rPr>
          <w:rFonts w:hint="eastAsia" w:ascii="仿宋_GB2312" w:hAnsi="Times New Roman" w:eastAsia="仿宋_GB2312" w:cs="Times New Roman"/>
          <w:sz w:val="32"/>
          <w:szCs w:val="32"/>
          <w:lang w:val="en-US" w:eastAsia="zh-CN"/>
        </w:rPr>
        <w:t>城市管理</w:t>
      </w:r>
      <w:r>
        <w:rPr>
          <w:rFonts w:ascii="仿宋_GB2312" w:hAnsi="Times New Roman" w:eastAsia="仿宋_GB2312" w:cs="Times New Roman"/>
          <w:sz w:val="32"/>
          <w:szCs w:val="32"/>
        </w:rPr>
        <w:t>工作，实现</w:t>
      </w:r>
      <w:r>
        <w:rPr>
          <w:rFonts w:hint="eastAsia" w:ascii="仿宋_GB2312" w:hAnsi="Times New Roman" w:eastAsia="仿宋_GB2312" w:cs="Times New Roman"/>
          <w:sz w:val="32"/>
          <w:szCs w:val="32"/>
          <w:lang w:val="en-US" w:eastAsia="zh-CN"/>
        </w:rPr>
        <w:t>城区管理工</w:t>
      </w:r>
      <w:r>
        <w:rPr>
          <w:rFonts w:ascii="仿宋_GB2312" w:hAnsi="Times New Roman" w:eastAsia="仿宋_GB2312" w:cs="Times New Roman"/>
          <w:sz w:val="32"/>
          <w:szCs w:val="32"/>
        </w:rPr>
        <w:t>作的跨跃发展。</w:t>
      </w:r>
    </w:p>
    <w:p>
      <w:pPr>
        <w:keepNext w:val="0"/>
        <w:keepLines w:val="0"/>
        <w:pageBreakBefore w:val="0"/>
        <w:kinsoku/>
        <w:wordWrap/>
        <w:overflowPunct/>
        <w:topLinePunct w:val="0"/>
        <w:bidi w:val="0"/>
        <w:snapToGrid/>
        <w:spacing w:line="584" w:lineRule="exact"/>
        <w:ind w:firstLine="560"/>
        <w:textAlignment w:val="auto"/>
        <w:rPr>
          <w:rFonts w:hint="eastAsia" w:ascii="仿宋" w:hAnsi="仿宋" w:eastAsia="仿宋" w:cs="仿宋"/>
          <w:sz w:val="32"/>
          <w:szCs w:val="32"/>
        </w:rPr>
      </w:pPr>
      <w:r>
        <w:rPr>
          <w:rFonts w:hint="eastAsia" w:ascii="仿宋" w:hAnsi="仿宋" w:eastAsia="仿宋" w:cs="仿宋"/>
          <w:b/>
          <w:color w:val="000000"/>
          <w:sz w:val="32"/>
          <w:szCs w:val="32"/>
        </w:rPr>
        <w:t>（二）分项绩效目标</w:t>
      </w:r>
    </w:p>
    <w:p>
      <w:pPr>
        <w:pStyle w:val="2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一、加强市容市貌整治</w:t>
      </w:r>
    </w:p>
    <w:p>
      <w:pPr>
        <w:pStyle w:val="2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执法局以城区道路为框架将执法中队分成八个小队，增加早、晚执法人员，全天候监管城市问题。加强对“门前五包”责任制的落实，积极宣传引导商户落实“门前五包”责任制，并督促商户垃圾分类入桶。</w:t>
      </w:r>
    </w:p>
    <w:p>
      <w:pPr>
        <w:pStyle w:val="2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二、强抓实事，惠及民生</w:t>
      </w:r>
    </w:p>
    <w:p>
      <w:pPr>
        <w:pStyle w:val="2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执法局坚持以人为本，抓民生、重实事，全面推进各项民生实事落实，使发展成果更多、更公平惠及全县群众，解决群众所盼所需，提高群众满意水平，为群众的幸福提供更给力的保障。</w:t>
      </w:r>
    </w:p>
    <w:p>
      <w:pPr>
        <w:pStyle w:val="2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、提高精细化管理</w:t>
      </w:r>
    </w:p>
    <w:p>
      <w:pPr>
        <w:pStyle w:val="2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转变城市管理思路，打造一支专业化、高素质城管队伍，积极探索城市精细化管理新模式，创新管理流程，实现高效能管理。</w:t>
      </w:r>
    </w:p>
    <w:p>
      <w:pPr>
        <w:pStyle w:val="27"/>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p>
    <w:p>
      <w:pPr>
        <w:keepNext w:val="0"/>
        <w:keepLines w:val="0"/>
        <w:pageBreakBefore w:val="0"/>
        <w:kinsoku/>
        <w:wordWrap/>
        <w:overflowPunct/>
        <w:topLinePunct w:val="0"/>
        <w:bidi w:val="0"/>
        <w:snapToGrid/>
        <w:spacing w:line="584" w:lineRule="exact"/>
        <w:ind w:firstLine="560"/>
        <w:textAlignment w:val="auto"/>
        <w:rPr>
          <w:rFonts w:hint="eastAsia" w:ascii="仿宋" w:hAnsi="仿宋" w:eastAsia="仿宋" w:cs="仿宋"/>
          <w:b/>
          <w:sz w:val="32"/>
          <w:szCs w:val="32"/>
        </w:rPr>
      </w:pPr>
      <w:r>
        <w:rPr>
          <w:rFonts w:hint="eastAsia" w:ascii="仿宋" w:hAnsi="仿宋" w:eastAsia="仿宋" w:cs="仿宋"/>
          <w:b/>
          <w:color w:val="000000"/>
          <w:sz w:val="32"/>
          <w:szCs w:val="32"/>
        </w:rPr>
        <w:t>（三）工作保障措施</w:t>
      </w:r>
    </w:p>
    <w:p>
      <w:pPr>
        <w:pStyle w:val="29"/>
        <w:keepNext w:val="0"/>
        <w:keepLines w:val="0"/>
        <w:pageBreakBefore w:val="0"/>
        <w:kinsoku/>
        <w:wordWrap/>
        <w:overflowPunct/>
        <w:topLinePunct w:val="0"/>
        <w:bidi w:val="0"/>
        <w:snapToGrid/>
        <w:spacing w:line="584" w:lineRule="exact"/>
        <w:textAlignment w:val="auto"/>
        <w:rPr>
          <w:rFonts w:hint="eastAsia" w:ascii="仿宋" w:hAnsi="仿宋" w:eastAsia="仿宋" w:cs="仿宋"/>
          <w:sz w:val="32"/>
          <w:szCs w:val="32"/>
        </w:rPr>
      </w:pPr>
      <w:r>
        <w:rPr>
          <w:rFonts w:hint="eastAsia" w:ascii="仿宋" w:hAnsi="仿宋" w:eastAsia="仿宋" w:cs="仿宋"/>
          <w:sz w:val="32"/>
          <w:szCs w:val="32"/>
        </w:rPr>
        <w:t>贯彻执行国家和省、市城市管理方面的法律、法规，拟订全县城市管理的规章、制度，并付诸实施。行使市容环境卫生管理方面法律、法规、规章规定的全部行政处罚权；履行市容环境卫生管理方面法律、法规、规章规定的有关职责。对以下影响市容环境的行为进行管理、纠正或处罚。城区内的建筑物设施不符合环境卫生标准；城区内乱堆乱放、乱涂乱画和私搭乱建，随意摆摊设点、乱扔废弃物等；车辆运输货物超重、超载、遗撒等擅自通过城市道路的；在城区内擅自拆除、损坏环境卫生设施的，随意焚烧杂物的，其它影响城区环境、容貌的行为。行使城乡规划管理方面法律、法规、规章规定的全部行政处罚权；对城乡规划区范围内未取得建设工程规划许可证或者违反建设工程规划许可证的建设工程实施处罚；按城乡规划行使审核、监督、处罚；强制拆除不符合城市容貌标准的违法建筑物、构筑物或者设施。行使城市绿化管理方面法律、法规、规章规定的全部行政处罚权。行使工商行政管理方面法律、法规、规章规定的对市场外各类商户、商贩影响市容行为的行政处罚权及监督管理权。行使公安交通管理方面法律、法规、规章规定的对侵占城市规划区内人行道、公共场地等行为的行政处罚权。行使市政、公用设施管理方面法律、法规、规章规定的全部行政处罚权。行使临时占道审批管理权及依法收取占道费。  依据有关法律、法规、规章，负责城市管理相关规定、通告、通知等规范性文件的起草、宣传、贯彻落实工作。负责拟订养猫、养狗等宠物，影响公共环境卫生和人身安全的地方性规定，明确饲养宠物者造成社会危害应负的赔偿责任。加强对城区燃放烟花爆竹等庆典活动的管理，负责审批和监管除重大节日外，在城区燃放烟花爆竹等庆典活动。负责受理上级批转的信访案件和群众举报案件及办理县人大、政协建议、提案工作。负责干部职工思想政治教育及业务培训工作，局内党（团）员的发展、教育、管理工作，工青妇及安全保卫工作。</w:t>
      </w:r>
    </w:p>
    <w:p>
      <w:pPr>
        <w:numPr>
          <w:ilvl w:val="0"/>
          <w:numId w:val="1"/>
        </w:num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rPr>
        <w:t>部门整体支出绩效指标</w:t>
      </w:r>
    </w:p>
    <w:tbl>
      <w:tblPr>
        <w:tblStyle w:val="8"/>
        <w:tblW w:w="143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6"/>
        <w:gridCol w:w="1142"/>
        <w:gridCol w:w="2350"/>
        <w:gridCol w:w="3455"/>
        <w:gridCol w:w="3005"/>
        <w:gridCol w:w="482"/>
        <w:gridCol w:w="879"/>
        <w:gridCol w:w="673"/>
        <w:gridCol w:w="1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评（扣）分标准</w:t>
            </w:r>
          </w:p>
        </w:tc>
        <w:tc>
          <w:tcPr>
            <w:tcW w:w="3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w:t>
            </w: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5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kern w:val="2"/>
                <w:sz w:val="18"/>
                <w:szCs w:val="18"/>
                <w:u w:val="none"/>
                <w:lang w:val="en-US" w:eastAsia="zh-CN" w:bidi="ar-SA"/>
              </w:rPr>
            </w:pPr>
          </w:p>
        </w:tc>
        <w:tc>
          <w:tcPr>
            <w:tcW w:w="3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管理村庄数</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达到目标值得满分，每减少一个，扣指标分值的5%，低于70个村庄不得分。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垃圾清扫、保洁、清运涉及村庄数</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亮化休闲广场数量</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亮化数量7个以上得满分，不足7个不得分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亮化休闲广场数量</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请示、实施方案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新制作围挡面积</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围挡面积达到1290㎡得满分，不足1290㎡不得分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新制作围挡面积</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请示文件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垃圾填埋场偷倒垃圾发生次数</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每发生偷到垃圾一次扣权重分10%</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垃圾填埋场偷倒垃圾发生次数</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填埋场新建工程噪声进行监测</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达到目标值，得满分；每减少一次，扣权重分的10%，监测频次低于2次，不得分。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填埋场新建工程噪声监测频次</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对填埋场场区内、外监测井进行监测</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达到目标值，得满分；每减少指标值的10%，扣权重分的10%，低于指标值的50%，不得分。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1-6号监测井全年监测频次</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日垃圾清运率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日垃圾清运率每下降5%，减指标分值10%，日垃圾清运率低于60%得0分。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日清运垃圾量与日产生垃圾量的比例</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市政管理工作合格率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合格率100%得满分，每降低1%扣权重分10%</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市政公共设施管理工作合格率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废水检测合格率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废水检测合格率每降低5%，减指标分值10%，废水检测合格率低于60%得0分。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大厂县城区餐饮单位、机关企事业单位食堂餐厨垃圾处理后的废水合格率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各项指标监测达标率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达标率每降低5%，减指标分值10%，达标率低于60%得0分。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各项指标监测达标率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垃圾清扫清运及时率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垃圾清扫清运及时率每下降5%，减指标分值10%，及时率低于60%得0分。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垃圾清扫清运及时情况</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餐厨垃圾处理及时率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处理及时率每降低5%，减指标分值10%，处理及时率低于60%得0分。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及时处理天数与处理总天数的比例</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各项指标监测及时率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监测及时率每降低5%，减指标分值10%，监测及时率低于60%得0分。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各项指标监测及时率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成本偏离率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偏离率绝对值在10%以内得满分，偏离率每超过目标值的5%，扣分值的10%，偏离率超过目标值的30%得0分。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项目成本偏离预算资金比率的绝对值</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监测场区环境</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达到指标值得满分，对周边环境造成二次污染的次数每增加一次，扣10%的权重分，增加5次以上不得分。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多举措监测场区环境，对周边环境造成二次污染的次数</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餐厨垃圾无害化处理率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处理率每降低5%，减指标分值10%，处理率低于60%得0分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餐厨垃圾垃圾无害化处理率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垃圾清运覆盖率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垃圾清运覆盖率每下降5%，减指标分值10%，垃圾清运覆盖率低于60%得0分。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垃圾清运数量与产生垃圾总数量的比例</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市政管理工作运转率</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运转率100%得满分，每降低1%扣权重分10%</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市政管理工作运转率（正常运转工作部门/总的工作部分数）</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疾病传播情况</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在1年及以上得满分，每下降指标值的5%，减指标分值5%，影响年限低于指标值的60%得0分。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消除和减少疾病传播年限</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保障垃圾填埋场内土壤质量合格时限</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在1年及以上得满分，每下降指标值的5%，减指标分值5%，保障年限低于指标值的60%得0分。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保障垃圾填埋场内土壤质量合格时限</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满意度大于等于95%得满分，每降低5%扣权重分的10%，满意度低于60%不得分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对服务对象满意度进行调查，满意人数占比</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95.00</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比率</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根据满意度调查结果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受益群众满意度</w:t>
            </w:r>
          </w:p>
        </w:tc>
        <w:tc>
          <w:tcPr>
            <w:tcW w:w="3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满意度每降低5%，减满意度分值10%，满意度低于60%得0分。</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调查中满意和较满意的人数占调研总人数的比率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bl>
    <w:p>
      <w:pPr>
        <w:widowControl w:val="0"/>
        <w:numPr>
          <w:ilvl w:val="0"/>
          <w:numId w:val="0"/>
        </w:numPr>
        <w:spacing w:line="584" w:lineRule="exact"/>
        <w:jc w:val="both"/>
        <w:rPr>
          <w:rFonts w:hint="eastAsia" w:ascii="楷体" w:hAnsi="楷体" w:eastAsia="楷体" w:cs="Times New Roman"/>
          <w:b/>
          <w:sz w:val="32"/>
          <w:szCs w:val="32"/>
        </w:rPr>
      </w:pPr>
    </w:p>
    <w:p>
      <w:pPr>
        <w:ind w:firstLine="560"/>
        <w:rPr>
          <w:rFonts w:ascii="方正仿宋_GBK" w:hAnsi="方正仿宋_GBK" w:eastAsia="方正仿宋_GBK" w:cs="方正仿宋_GBK"/>
          <w:b/>
          <w:color w:val="000000"/>
          <w:sz w:val="28"/>
        </w:rPr>
      </w:pPr>
    </w:p>
    <w:p>
      <w:pPr>
        <w:spacing w:line="584" w:lineRule="exact"/>
        <w:ind w:firstLine="640" w:firstLineChars="200"/>
        <w:rPr>
          <w:rFonts w:ascii="方正仿宋_GBK" w:hAnsi="方正仿宋_GBK" w:eastAsia="方正仿宋_GBK" w:cs="方正仿宋_GBK"/>
          <w:b/>
          <w:color w:val="000000"/>
          <w:sz w:val="28"/>
        </w:rPr>
      </w:pPr>
      <w:r>
        <w:rPr>
          <w:rFonts w:hint="eastAsia" w:ascii="Times New Roman" w:hAnsi="Times New Roman" w:eastAsia="黑体" w:cs="Times New Roman"/>
          <w:sz w:val="32"/>
          <w:szCs w:val="32"/>
        </w:rPr>
        <w:t>第二部分 资金绩效目标</w:t>
      </w: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1、市政公共管理费绩效目标表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1.通过开展服务，保证各项工作正常运转，维护城区正常秩序，提高全县环境质量，提升群众满意度。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保障公共管理服务月数</w:t>
            </w:r>
          </w:p>
        </w:tc>
        <w:tc>
          <w:tcPr>
            <w:tcW w:w="2835" w:type="dxa"/>
            <w:vAlign w:val="center"/>
          </w:tcPr>
          <w:p>
            <w:pPr>
              <w:pStyle w:val="18"/>
            </w:pPr>
            <w:r>
              <w:t>保障公共管理服务月数</w:t>
            </w:r>
          </w:p>
        </w:tc>
        <w:tc>
          <w:tcPr>
            <w:tcW w:w="2551" w:type="dxa"/>
            <w:vAlign w:val="center"/>
          </w:tcPr>
          <w:p>
            <w:pPr>
              <w:pStyle w:val="18"/>
            </w:pPr>
            <w:r>
              <w:t>12月</w:t>
            </w:r>
          </w:p>
        </w:tc>
        <w:tc>
          <w:tcPr>
            <w:tcW w:w="2268"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市政管理工作合格率</w:t>
            </w:r>
          </w:p>
        </w:tc>
        <w:tc>
          <w:tcPr>
            <w:tcW w:w="2835" w:type="dxa"/>
            <w:vAlign w:val="center"/>
          </w:tcPr>
          <w:p>
            <w:pPr>
              <w:pStyle w:val="18"/>
            </w:pPr>
            <w:r>
              <w:t>市政公共设施管理工作合格率</w:t>
            </w:r>
          </w:p>
        </w:tc>
        <w:tc>
          <w:tcPr>
            <w:tcW w:w="2551" w:type="dxa"/>
            <w:vAlign w:val="center"/>
          </w:tcPr>
          <w:p>
            <w:pPr>
              <w:pStyle w:val="18"/>
            </w:pPr>
            <w:r>
              <w:t>100%</w:t>
            </w:r>
          </w:p>
        </w:tc>
        <w:tc>
          <w:tcPr>
            <w:tcW w:w="2268"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服务经费支付及时性</w:t>
            </w:r>
          </w:p>
        </w:tc>
        <w:tc>
          <w:tcPr>
            <w:tcW w:w="2835" w:type="dxa"/>
            <w:vAlign w:val="center"/>
          </w:tcPr>
          <w:p>
            <w:pPr>
              <w:pStyle w:val="18"/>
            </w:pPr>
            <w:r>
              <w:t>市政公共管理服务经费支付及执行</w:t>
            </w:r>
          </w:p>
        </w:tc>
        <w:tc>
          <w:tcPr>
            <w:tcW w:w="2551" w:type="dxa"/>
            <w:vAlign w:val="center"/>
          </w:tcPr>
          <w:p>
            <w:pPr>
              <w:pStyle w:val="18"/>
            </w:pPr>
            <w:r>
              <w:t>按劳务派遣合同约定及时支付</w:t>
            </w:r>
          </w:p>
        </w:tc>
        <w:tc>
          <w:tcPr>
            <w:tcW w:w="2268"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市政管理工作运转率</w:t>
            </w:r>
          </w:p>
        </w:tc>
        <w:tc>
          <w:tcPr>
            <w:tcW w:w="2835" w:type="dxa"/>
            <w:vAlign w:val="center"/>
          </w:tcPr>
          <w:p>
            <w:pPr>
              <w:pStyle w:val="18"/>
            </w:pPr>
            <w:r>
              <w:t>市政管理工作运转率（正常运转工作部门/总的工作部分数）</w:t>
            </w:r>
          </w:p>
        </w:tc>
        <w:tc>
          <w:tcPr>
            <w:tcW w:w="2551" w:type="dxa"/>
            <w:vAlign w:val="center"/>
          </w:tcPr>
          <w:p>
            <w:pPr>
              <w:pStyle w:val="18"/>
            </w:pPr>
            <w:r>
              <w:t>100%</w:t>
            </w:r>
          </w:p>
        </w:tc>
        <w:tc>
          <w:tcPr>
            <w:tcW w:w="2268"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市政管理工作保障期限</w:t>
            </w:r>
          </w:p>
        </w:tc>
        <w:tc>
          <w:tcPr>
            <w:tcW w:w="2835" w:type="dxa"/>
            <w:vAlign w:val="center"/>
          </w:tcPr>
          <w:p>
            <w:pPr>
              <w:pStyle w:val="18"/>
            </w:pPr>
            <w:r>
              <w:t>市政管理工作保障期限</w:t>
            </w:r>
          </w:p>
        </w:tc>
        <w:tc>
          <w:tcPr>
            <w:tcW w:w="2551" w:type="dxa"/>
            <w:vAlign w:val="center"/>
          </w:tcPr>
          <w:p>
            <w:pPr>
              <w:pStyle w:val="18"/>
            </w:pPr>
            <w:r>
              <w:t>365天</w:t>
            </w:r>
          </w:p>
        </w:tc>
        <w:tc>
          <w:tcPr>
            <w:tcW w:w="2268"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2、数字化运行费绩效目标表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1.通过网络租赁、系统维护更新、技术人员培训、宣传资料印刷、车辆维护等，保证数字化监督指挥中心正常运行。保障各项工作有效运转，提高社会稳定性。</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工作完成率</w:t>
            </w:r>
          </w:p>
        </w:tc>
        <w:tc>
          <w:tcPr>
            <w:tcW w:w="2835" w:type="dxa"/>
            <w:vAlign w:val="center"/>
          </w:tcPr>
          <w:p>
            <w:pPr>
              <w:pStyle w:val="18"/>
            </w:pPr>
            <w:r>
              <w:t>反映工作完成情况</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工作质量达标率</w:t>
            </w:r>
          </w:p>
        </w:tc>
        <w:tc>
          <w:tcPr>
            <w:tcW w:w="2835" w:type="dxa"/>
            <w:vAlign w:val="center"/>
          </w:tcPr>
          <w:p>
            <w:pPr>
              <w:pStyle w:val="18"/>
            </w:pPr>
            <w:r>
              <w:t>反映日常运行工作达标情况</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系统运行维护响应时间</w:t>
            </w:r>
          </w:p>
        </w:tc>
        <w:tc>
          <w:tcPr>
            <w:tcW w:w="2835" w:type="dxa"/>
            <w:vAlign w:val="center"/>
          </w:tcPr>
          <w:p>
            <w:pPr>
              <w:pStyle w:val="18"/>
            </w:pPr>
            <w:r>
              <w:t>系统运行维护需求响应时间</w:t>
            </w:r>
          </w:p>
        </w:tc>
        <w:tc>
          <w:tcPr>
            <w:tcW w:w="2551" w:type="dxa"/>
            <w:vAlign w:val="center"/>
          </w:tcPr>
          <w:p>
            <w:pPr>
              <w:pStyle w:val="18"/>
            </w:pPr>
            <w:r>
              <w:t>≤2小时</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成本节约率</w:t>
            </w:r>
          </w:p>
        </w:tc>
        <w:tc>
          <w:tcPr>
            <w:tcW w:w="2835" w:type="dxa"/>
            <w:vAlign w:val="center"/>
          </w:tcPr>
          <w:p>
            <w:pPr>
              <w:pStyle w:val="18"/>
            </w:pPr>
            <w:r>
              <w:t>反映成本节约情况</w:t>
            </w:r>
          </w:p>
        </w:tc>
        <w:tc>
          <w:tcPr>
            <w:tcW w:w="2551" w:type="dxa"/>
            <w:vAlign w:val="center"/>
          </w:tcPr>
          <w:p>
            <w:pPr>
              <w:pStyle w:val="18"/>
            </w:pPr>
            <w:r>
              <w:t>≥2%</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正常运行率</w:t>
            </w:r>
          </w:p>
        </w:tc>
        <w:tc>
          <w:tcPr>
            <w:tcW w:w="2835" w:type="dxa"/>
            <w:vAlign w:val="center"/>
          </w:tcPr>
          <w:p>
            <w:pPr>
              <w:pStyle w:val="18"/>
            </w:pPr>
            <w:r>
              <w:t>保证数字化监督指挥中心正常运行情况</w:t>
            </w:r>
          </w:p>
        </w:tc>
        <w:tc>
          <w:tcPr>
            <w:tcW w:w="2551" w:type="dxa"/>
            <w:vAlign w:val="center"/>
          </w:tcPr>
          <w:p>
            <w:pPr>
              <w:pStyle w:val="18"/>
            </w:pPr>
            <w:r>
              <w:t>≥95%</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指挥中心正常运行天数</w:t>
            </w:r>
          </w:p>
        </w:tc>
        <w:tc>
          <w:tcPr>
            <w:tcW w:w="2835" w:type="dxa"/>
            <w:vAlign w:val="center"/>
          </w:tcPr>
          <w:p>
            <w:pPr>
              <w:pStyle w:val="18"/>
            </w:pPr>
            <w:r>
              <w:t>反映指挥中心正常运行情况</w:t>
            </w:r>
          </w:p>
        </w:tc>
        <w:tc>
          <w:tcPr>
            <w:tcW w:w="2551" w:type="dxa"/>
            <w:vAlign w:val="center"/>
          </w:tcPr>
          <w:p>
            <w:pPr>
              <w:pStyle w:val="18"/>
            </w:pPr>
            <w:r>
              <w:t>≥1年</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群众满意率</w:t>
            </w:r>
          </w:p>
        </w:tc>
        <w:tc>
          <w:tcPr>
            <w:tcW w:w="2835" w:type="dxa"/>
            <w:vAlign w:val="center"/>
          </w:tcPr>
          <w:p>
            <w:pPr>
              <w:pStyle w:val="18"/>
            </w:pPr>
            <w:r>
              <w:t>群众对指挥中心工作情况的满意率</w:t>
            </w:r>
          </w:p>
        </w:tc>
        <w:tc>
          <w:tcPr>
            <w:tcW w:w="2551" w:type="dxa"/>
            <w:vAlign w:val="center"/>
          </w:tcPr>
          <w:p>
            <w:pPr>
              <w:pStyle w:val="18"/>
            </w:pPr>
            <w:r>
              <w:t>≥95%</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3、执法专项经费绩效目标表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1.通过项目的开展，保证执法工作正常运转，维护城区正常秩序，提升群众满意度。</w:t>
            </w:r>
          </w:p>
          <w:p>
            <w:pPr>
              <w:pStyle w:val="18"/>
            </w:pPr>
            <w:r>
              <w:t>2.通过项目的开展，加大执法执勤力度，提高全县环境质量。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执法工作完成率</w:t>
            </w:r>
          </w:p>
        </w:tc>
        <w:tc>
          <w:tcPr>
            <w:tcW w:w="2835" w:type="dxa"/>
            <w:vAlign w:val="center"/>
          </w:tcPr>
          <w:p>
            <w:pPr>
              <w:pStyle w:val="18"/>
            </w:pPr>
            <w:r>
              <w:t>执法工作完成率</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年度考核达标率</w:t>
            </w:r>
          </w:p>
        </w:tc>
        <w:tc>
          <w:tcPr>
            <w:tcW w:w="2835" w:type="dxa"/>
            <w:vAlign w:val="center"/>
          </w:tcPr>
          <w:p>
            <w:pPr>
              <w:pStyle w:val="18"/>
            </w:pPr>
            <w:r>
              <w:t>各项业务工作年度考核达标率</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完成及时率</w:t>
            </w:r>
          </w:p>
        </w:tc>
        <w:tc>
          <w:tcPr>
            <w:tcW w:w="2835" w:type="dxa"/>
            <w:vAlign w:val="center"/>
          </w:tcPr>
          <w:p>
            <w:pPr>
              <w:pStyle w:val="18"/>
            </w:pPr>
            <w:r>
              <w:t>在规定的时间节点内完成</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成本偏离率</w:t>
            </w:r>
          </w:p>
        </w:tc>
        <w:tc>
          <w:tcPr>
            <w:tcW w:w="2835" w:type="dxa"/>
            <w:vAlign w:val="center"/>
          </w:tcPr>
          <w:p>
            <w:pPr>
              <w:pStyle w:val="18"/>
            </w:pPr>
            <w:r>
              <w:t>项目成本偏离预算资金比率的绝对值</w:t>
            </w:r>
          </w:p>
        </w:tc>
        <w:tc>
          <w:tcPr>
            <w:tcW w:w="2551" w:type="dxa"/>
            <w:vAlign w:val="center"/>
          </w:tcPr>
          <w:p>
            <w:pPr>
              <w:pStyle w:val="18"/>
            </w:pPr>
            <w:r>
              <w:t>≤10%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违规现象下降率</w:t>
            </w:r>
          </w:p>
        </w:tc>
        <w:tc>
          <w:tcPr>
            <w:tcW w:w="2835" w:type="dxa"/>
            <w:vAlign w:val="center"/>
          </w:tcPr>
          <w:p>
            <w:pPr>
              <w:pStyle w:val="18"/>
            </w:pPr>
            <w:r>
              <w:t>反映违规现象下降情况</w:t>
            </w:r>
          </w:p>
        </w:tc>
        <w:tc>
          <w:tcPr>
            <w:tcW w:w="2551" w:type="dxa"/>
            <w:vAlign w:val="center"/>
          </w:tcPr>
          <w:p>
            <w:pPr>
              <w:pStyle w:val="18"/>
            </w:pPr>
            <w:r>
              <w:t>≥5%</w:t>
            </w:r>
          </w:p>
        </w:tc>
        <w:tc>
          <w:tcPr>
            <w:tcW w:w="2268" w:type="dxa"/>
            <w:vAlign w:val="center"/>
          </w:tcPr>
          <w:p>
            <w:pPr>
              <w:pStyle w:val="18"/>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保障城区正常秩序年限</w:t>
            </w:r>
          </w:p>
        </w:tc>
        <w:tc>
          <w:tcPr>
            <w:tcW w:w="2835" w:type="dxa"/>
            <w:vAlign w:val="center"/>
          </w:tcPr>
          <w:p>
            <w:pPr>
              <w:pStyle w:val="18"/>
            </w:pPr>
            <w:r>
              <w:t>维护城区正常秩序的年限</w:t>
            </w:r>
          </w:p>
        </w:tc>
        <w:tc>
          <w:tcPr>
            <w:tcW w:w="2551" w:type="dxa"/>
            <w:vAlign w:val="center"/>
          </w:tcPr>
          <w:p>
            <w:pPr>
              <w:pStyle w:val="18"/>
            </w:pPr>
            <w:r>
              <w:t>1年</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群众对城管执法工作的满意度</w:t>
            </w:r>
          </w:p>
        </w:tc>
        <w:tc>
          <w:tcPr>
            <w:tcW w:w="2551" w:type="dxa"/>
            <w:vAlign w:val="center"/>
          </w:tcPr>
          <w:p>
            <w:pPr>
              <w:pStyle w:val="18"/>
            </w:pPr>
            <w:r>
              <w:t>≥95%</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4、102国道移除、安装灯杆工程款绩效目标表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1.通过对102国道27根灯杆移除、安装，保障道路路灯照明</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项目数量</w:t>
            </w:r>
          </w:p>
        </w:tc>
        <w:tc>
          <w:tcPr>
            <w:tcW w:w="2835" w:type="dxa"/>
            <w:vAlign w:val="center"/>
          </w:tcPr>
          <w:p>
            <w:pPr>
              <w:pStyle w:val="18"/>
            </w:pPr>
            <w:r>
              <w:t>拆除及回装灯杆数量</w:t>
            </w:r>
          </w:p>
        </w:tc>
        <w:tc>
          <w:tcPr>
            <w:tcW w:w="2551" w:type="dxa"/>
            <w:vAlign w:val="center"/>
          </w:tcPr>
          <w:p>
            <w:pPr>
              <w:pStyle w:val="18"/>
            </w:pPr>
            <w:r>
              <w:t>27根</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设施完好率</w:t>
            </w:r>
          </w:p>
        </w:tc>
        <w:tc>
          <w:tcPr>
            <w:tcW w:w="2835" w:type="dxa"/>
            <w:vAlign w:val="center"/>
          </w:tcPr>
          <w:p>
            <w:pPr>
              <w:pStyle w:val="18"/>
            </w:pPr>
            <w:r>
              <w:t>维修保障设施完好率</w:t>
            </w:r>
          </w:p>
        </w:tc>
        <w:tc>
          <w:tcPr>
            <w:tcW w:w="2551" w:type="dxa"/>
            <w:vAlign w:val="center"/>
          </w:tcPr>
          <w:p>
            <w:pPr>
              <w:pStyle w:val="18"/>
            </w:pPr>
            <w:r>
              <w:t>100比率</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欠款支付及时性</w:t>
            </w:r>
          </w:p>
        </w:tc>
        <w:tc>
          <w:tcPr>
            <w:tcW w:w="2835" w:type="dxa"/>
            <w:vAlign w:val="center"/>
          </w:tcPr>
          <w:p>
            <w:pPr>
              <w:pStyle w:val="18"/>
            </w:pPr>
            <w:r>
              <w:t>按约定及时支付工程款</w:t>
            </w:r>
          </w:p>
        </w:tc>
        <w:tc>
          <w:tcPr>
            <w:tcW w:w="2551" w:type="dxa"/>
            <w:vAlign w:val="center"/>
          </w:tcPr>
          <w:p>
            <w:pPr>
              <w:pStyle w:val="18"/>
            </w:pPr>
            <w:r>
              <w:t>≤10月</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单位成本</w:t>
            </w:r>
          </w:p>
        </w:tc>
        <w:tc>
          <w:tcPr>
            <w:tcW w:w="2835" w:type="dxa"/>
            <w:vAlign w:val="center"/>
          </w:tcPr>
          <w:p>
            <w:pPr>
              <w:pStyle w:val="18"/>
            </w:pPr>
            <w:r>
              <w:t>拆除及回装每根路灯的平均单位成本</w:t>
            </w:r>
          </w:p>
        </w:tc>
        <w:tc>
          <w:tcPr>
            <w:tcW w:w="2551" w:type="dxa"/>
            <w:vAlign w:val="center"/>
          </w:tcPr>
          <w:p>
            <w:pPr>
              <w:pStyle w:val="18"/>
            </w:pPr>
            <w:r>
              <w:t>≤2.22万元</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路灯亮灯率</w:t>
            </w:r>
          </w:p>
        </w:tc>
        <w:tc>
          <w:tcPr>
            <w:tcW w:w="2835" w:type="dxa"/>
            <w:vAlign w:val="center"/>
          </w:tcPr>
          <w:p>
            <w:pPr>
              <w:pStyle w:val="18"/>
            </w:pPr>
            <w:r>
              <w:t>移除回装后亮灯率</w:t>
            </w:r>
          </w:p>
        </w:tc>
        <w:tc>
          <w:tcPr>
            <w:tcW w:w="2551" w:type="dxa"/>
            <w:vAlign w:val="center"/>
          </w:tcPr>
          <w:p>
            <w:pPr>
              <w:pStyle w:val="18"/>
            </w:pPr>
            <w:r>
              <w:t>100%</w:t>
            </w:r>
          </w:p>
        </w:tc>
        <w:tc>
          <w:tcPr>
            <w:tcW w:w="22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亮灯维持期限</w:t>
            </w:r>
          </w:p>
        </w:tc>
        <w:tc>
          <w:tcPr>
            <w:tcW w:w="2835" w:type="dxa"/>
            <w:vAlign w:val="center"/>
          </w:tcPr>
          <w:p>
            <w:pPr>
              <w:pStyle w:val="18"/>
            </w:pPr>
            <w:r>
              <w:t>移除回装后亮灯维持期限</w:t>
            </w:r>
          </w:p>
        </w:tc>
        <w:tc>
          <w:tcPr>
            <w:tcW w:w="2551" w:type="dxa"/>
            <w:vAlign w:val="center"/>
          </w:tcPr>
          <w:p>
            <w:pPr>
              <w:pStyle w:val="18"/>
            </w:pPr>
            <w:r>
              <w:t>≥1年</w:t>
            </w:r>
          </w:p>
        </w:tc>
        <w:tc>
          <w:tcPr>
            <w:tcW w:w="22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受益群体满意度</w:t>
            </w:r>
          </w:p>
        </w:tc>
        <w:tc>
          <w:tcPr>
            <w:tcW w:w="2835" w:type="dxa"/>
            <w:vAlign w:val="center"/>
          </w:tcPr>
          <w:p>
            <w:pPr>
              <w:pStyle w:val="18"/>
            </w:pPr>
            <w:r>
              <w:t>受益群体满意度</w:t>
            </w:r>
          </w:p>
        </w:tc>
        <w:tc>
          <w:tcPr>
            <w:tcW w:w="2551" w:type="dxa"/>
            <w:vAlign w:val="center"/>
          </w:tcPr>
          <w:p>
            <w:pPr>
              <w:pStyle w:val="18"/>
            </w:pPr>
            <w:r>
              <w:t>≥99%</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5、2021年国庆期间城区主街干道悬挂国旗所需资金绩效目标表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1.通过悬挂202组国旗1个月时间，营造国庆期间喜庆氛围。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国旗悬挂数量</w:t>
            </w:r>
          </w:p>
        </w:tc>
        <w:tc>
          <w:tcPr>
            <w:tcW w:w="2835" w:type="dxa"/>
            <w:vAlign w:val="center"/>
          </w:tcPr>
          <w:p>
            <w:pPr>
              <w:pStyle w:val="18"/>
            </w:pPr>
            <w:r>
              <w:t>国旗悬挂数量</w:t>
            </w:r>
          </w:p>
        </w:tc>
        <w:tc>
          <w:tcPr>
            <w:tcW w:w="2551" w:type="dxa"/>
            <w:vAlign w:val="center"/>
          </w:tcPr>
          <w:p>
            <w:pPr>
              <w:pStyle w:val="18"/>
            </w:pPr>
            <w:r>
              <w:t>＝202组</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安装国旗质量合格率</w:t>
            </w:r>
          </w:p>
        </w:tc>
        <w:tc>
          <w:tcPr>
            <w:tcW w:w="2835" w:type="dxa"/>
            <w:vAlign w:val="center"/>
          </w:tcPr>
          <w:p>
            <w:pPr>
              <w:pStyle w:val="18"/>
            </w:pPr>
            <w:r>
              <w:t>安装国旗质量合格率</w:t>
            </w:r>
          </w:p>
        </w:tc>
        <w:tc>
          <w:tcPr>
            <w:tcW w:w="2551" w:type="dxa"/>
            <w:vAlign w:val="center"/>
          </w:tcPr>
          <w:p>
            <w:pPr>
              <w:pStyle w:val="18"/>
            </w:pPr>
            <w:r>
              <w:t>＝100%</w:t>
            </w:r>
          </w:p>
        </w:tc>
        <w:tc>
          <w:tcPr>
            <w:tcW w:w="2268" w:type="dxa"/>
            <w:vAlign w:val="center"/>
          </w:tcPr>
          <w:p>
            <w:pPr>
              <w:pStyle w:val="18"/>
            </w:pPr>
            <w:r>
              <w:t>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悬挂及时性</w:t>
            </w:r>
          </w:p>
        </w:tc>
        <w:tc>
          <w:tcPr>
            <w:tcW w:w="2835" w:type="dxa"/>
            <w:vAlign w:val="center"/>
          </w:tcPr>
          <w:p>
            <w:pPr>
              <w:pStyle w:val="18"/>
            </w:pPr>
            <w:r>
              <w:t>国旗悬挂工作在10月1日前完成</w:t>
            </w:r>
          </w:p>
        </w:tc>
        <w:tc>
          <w:tcPr>
            <w:tcW w:w="2551" w:type="dxa"/>
            <w:vAlign w:val="center"/>
          </w:tcPr>
          <w:p>
            <w:pPr>
              <w:pStyle w:val="18"/>
            </w:pPr>
            <w:r>
              <w:t>10月1日之前</w:t>
            </w:r>
          </w:p>
        </w:tc>
        <w:tc>
          <w:tcPr>
            <w:tcW w:w="22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每组国旗单位成本</w:t>
            </w:r>
          </w:p>
        </w:tc>
        <w:tc>
          <w:tcPr>
            <w:tcW w:w="2835" w:type="dxa"/>
            <w:vAlign w:val="center"/>
          </w:tcPr>
          <w:p>
            <w:pPr>
              <w:pStyle w:val="18"/>
            </w:pPr>
            <w:r>
              <w:t>悬挂每组国旗的单位成本</w:t>
            </w:r>
          </w:p>
        </w:tc>
        <w:tc>
          <w:tcPr>
            <w:tcW w:w="2551" w:type="dxa"/>
            <w:vAlign w:val="center"/>
          </w:tcPr>
          <w:p>
            <w:pPr>
              <w:pStyle w:val="18"/>
            </w:pPr>
            <w:r>
              <w:t>≤230元</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国旗悬挂率</w:t>
            </w:r>
          </w:p>
        </w:tc>
        <w:tc>
          <w:tcPr>
            <w:tcW w:w="2835" w:type="dxa"/>
            <w:vAlign w:val="center"/>
          </w:tcPr>
          <w:p>
            <w:pPr>
              <w:pStyle w:val="18"/>
            </w:pPr>
            <w:r>
              <w:t>202组国旗悬挂，营造国庆期间喜庆氛围</w:t>
            </w:r>
          </w:p>
        </w:tc>
        <w:tc>
          <w:tcPr>
            <w:tcW w:w="2551" w:type="dxa"/>
            <w:vAlign w:val="center"/>
          </w:tcPr>
          <w:p>
            <w:pPr>
              <w:pStyle w:val="18"/>
            </w:pPr>
            <w:r>
              <w:t>＝100%</w:t>
            </w:r>
          </w:p>
        </w:tc>
        <w:tc>
          <w:tcPr>
            <w:tcW w:w="22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悬挂时间</w:t>
            </w:r>
          </w:p>
        </w:tc>
        <w:tc>
          <w:tcPr>
            <w:tcW w:w="2835" w:type="dxa"/>
            <w:vAlign w:val="center"/>
          </w:tcPr>
          <w:p>
            <w:pPr>
              <w:pStyle w:val="18"/>
            </w:pPr>
            <w:r>
              <w:t>国旗悬挂持续时间</w:t>
            </w:r>
          </w:p>
        </w:tc>
        <w:tc>
          <w:tcPr>
            <w:tcW w:w="2551" w:type="dxa"/>
            <w:vAlign w:val="center"/>
          </w:tcPr>
          <w:p>
            <w:pPr>
              <w:pStyle w:val="18"/>
            </w:pPr>
            <w:r>
              <w:t>＝31天</w:t>
            </w:r>
          </w:p>
        </w:tc>
        <w:tc>
          <w:tcPr>
            <w:tcW w:w="22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2835" w:type="dxa"/>
            <w:vAlign w:val="center"/>
          </w:tcPr>
          <w:p>
            <w:pPr>
              <w:pStyle w:val="18"/>
            </w:pPr>
            <w:r>
              <w:t>群众对其效果满意率</w:t>
            </w:r>
          </w:p>
        </w:tc>
        <w:tc>
          <w:tcPr>
            <w:tcW w:w="2551" w:type="dxa"/>
            <w:vAlign w:val="center"/>
          </w:tcPr>
          <w:p>
            <w:pPr>
              <w:pStyle w:val="18"/>
            </w:pPr>
            <w:r>
              <w:t>≥95%</w:t>
            </w:r>
          </w:p>
        </w:tc>
        <w:tc>
          <w:tcPr>
            <w:tcW w:w="2268" w:type="dxa"/>
            <w:vAlign w:val="center"/>
          </w:tcPr>
          <w:p>
            <w:pPr>
              <w:pStyle w:val="18"/>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6、2022年大厂县城区春节亮化项目资金绩效目标表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1.通过对城区2条主街、主路和7个休闲广场等重要节点进行亮化工作，以增添节日喜庆氛围。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亮化休闲广场数量</w:t>
            </w:r>
          </w:p>
        </w:tc>
        <w:tc>
          <w:tcPr>
            <w:tcW w:w="2835" w:type="dxa"/>
            <w:vAlign w:val="center"/>
          </w:tcPr>
          <w:p>
            <w:pPr>
              <w:pStyle w:val="18"/>
            </w:pPr>
            <w:r>
              <w:t>亮化休闲广场数量</w:t>
            </w:r>
          </w:p>
        </w:tc>
        <w:tc>
          <w:tcPr>
            <w:tcW w:w="2551" w:type="dxa"/>
            <w:vAlign w:val="center"/>
          </w:tcPr>
          <w:p>
            <w:pPr>
              <w:pStyle w:val="18"/>
            </w:pPr>
            <w:r>
              <w:t>≥7个</w:t>
            </w:r>
          </w:p>
        </w:tc>
        <w:tc>
          <w:tcPr>
            <w:tcW w:w="2268" w:type="dxa"/>
            <w:vAlign w:val="center"/>
          </w:tcPr>
          <w:p>
            <w:pPr>
              <w:pStyle w:val="18"/>
            </w:pPr>
            <w:r>
              <w:t>请示、实施方案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亮灯率</w:t>
            </w:r>
          </w:p>
        </w:tc>
        <w:tc>
          <w:tcPr>
            <w:tcW w:w="2835" w:type="dxa"/>
            <w:vAlign w:val="center"/>
          </w:tcPr>
          <w:p>
            <w:pPr>
              <w:pStyle w:val="18"/>
            </w:pPr>
            <w:r>
              <w:t>亮灯率</w:t>
            </w:r>
          </w:p>
        </w:tc>
        <w:tc>
          <w:tcPr>
            <w:tcW w:w="2551" w:type="dxa"/>
            <w:vAlign w:val="center"/>
          </w:tcPr>
          <w:p>
            <w:pPr>
              <w:pStyle w:val="18"/>
            </w:pPr>
            <w:r>
              <w:t>100%</w:t>
            </w:r>
          </w:p>
        </w:tc>
        <w:tc>
          <w:tcPr>
            <w:tcW w:w="22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完工及时性</w:t>
            </w:r>
          </w:p>
        </w:tc>
        <w:tc>
          <w:tcPr>
            <w:tcW w:w="2835" w:type="dxa"/>
            <w:vAlign w:val="center"/>
          </w:tcPr>
          <w:p>
            <w:pPr>
              <w:pStyle w:val="18"/>
            </w:pPr>
            <w:r>
              <w:t>完工及时性</w:t>
            </w:r>
          </w:p>
        </w:tc>
        <w:tc>
          <w:tcPr>
            <w:tcW w:w="2551" w:type="dxa"/>
            <w:vAlign w:val="center"/>
          </w:tcPr>
          <w:p>
            <w:pPr>
              <w:pStyle w:val="18"/>
            </w:pPr>
            <w:r>
              <w:t>1月17日前</w:t>
            </w:r>
          </w:p>
        </w:tc>
        <w:tc>
          <w:tcPr>
            <w:tcW w:w="22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区域平均单位成本</w:t>
            </w:r>
          </w:p>
        </w:tc>
        <w:tc>
          <w:tcPr>
            <w:tcW w:w="2835" w:type="dxa"/>
            <w:vAlign w:val="center"/>
          </w:tcPr>
          <w:p>
            <w:pPr>
              <w:pStyle w:val="18"/>
            </w:pPr>
            <w:r>
              <w:t>2条主街、主路和7个休闲广场，每个区域的平均亮化成本</w:t>
            </w:r>
          </w:p>
        </w:tc>
        <w:tc>
          <w:tcPr>
            <w:tcW w:w="2551" w:type="dxa"/>
            <w:vAlign w:val="center"/>
          </w:tcPr>
          <w:p>
            <w:pPr>
              <w:pStyle w:val="18"/>
            </w:pPr>
            <w:r>
              <w:t>≤2.22万元</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保障亮化区域用电安全</w:t>
            </w:r>
          </w:p>
        </w:tc>
        <w:tc>
          <w:tcPr>
            <w:tcW w:w="2835" w:type="dxa"/>
            <w:vAlign w:val="center"/>
          </w:tcPr>
          <w:p>
            <w:pPr>
              <w:pStyle w:val="18"/>
            </w:pPr>
            <w:r>
              <w:t>保障亮化区域用电安全</w:t>
            </w:r>
          </w:p>
        </w:tc>
        <w:tc>
          <w:tcPr>
            <w:tcW w:w="2551" w:type="dxa"/>
            <w:vAlign w:val="center"/>
          </w:tcPr>
          <w:p>
            <w:pPr>
              <w:pStyle w:val="18"/>
            </w:pPr>
            <w:r>
              <w:t>&lt;1次</w:t>
            </w:r>
          </w:p>
        </w:tc>
        <w:tc>
          <w:tcPr>
            <w:tcW w:w="22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亮灯持续时间</w:t>
            </w:r>
          </w:p>
        </w:tc>
        <w:tc>
          <w:tcPr>
            <w:tcW w:w="2835" w:type="dxa"/>
            <w:vAlign w:val="center"/>
          </w:tcPr>
          <w:p>
            <w:pPr>
              <w:pStyle w:val="18"/>
            </w:pPr>
            <w:r>
              <w:t>过节亮灯时间段</w:t>
            </w:r>
          </w:p>
        </w:tc>
        <w:tc>
          <w:tcPr>
            <w:tcW w:w="2551" w:type="dxa"/>
            <w:vAlign w:val="center"/>
          </w:tcPr>
          <w:p>
            <w:pPr>
              <w:pStyle w:val="18"/>
            </w:pPr>
            <w:r>
              <w:t>30天</w:t>
            </w:r>
          </w:p>
        </w:tc>
        <w:tc>
          <w:tcPr>
            <w:tcW w:w="22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群众的满意度</w:t>
            </w:r>
          </w:p>
        </w:tc>
        <w:tc>
          <w:tcPr>
            <w:tcW w:w="2835" w:type="dxa"/>
            <w:vAlign w:val="center"/>
          </w:tcPr>
          <w:p>
            <w:pPr>
              <w:pStyle w:val="18"/>
            </w:pPr>
            <w:r>
              <w:t>周边群众对其效果的满意度</w:t>
            </w:r>
          </w:p>
        </w:tc>
        <w:tc>
          <w:tcPr>
            <w:tcW w:w="2551" w:type="dxa"/>
            <w:vAlign w:val="center"/>
          </w:tcPr>
          <w:p>
            <w:pPr>
              <w:pStyle w:val="18"/>
            </w:pPr>
            <w:r>
              <w:t>≥95比率</w:t>
            </w:r>
          </w:p>
        </w:tc>
        <w:tc>
          <w:tcPr>
            <w:tcW w:w="2268" w:type="dxa"/>
            <w:vAlign w:val="center"/>
          </w:tcPr>
          <w:p>
            <w:pPr>
              <w:pStyle w:val="18"/>
            </w:pPr>
            <w:r>
              <w:t>群众满意度调查问卷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7、230省道移除、安装灯杆工程款绩效目标表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1.通过对230省道38根灯杆移除、安装，保障道路路灯照明</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项目数量</w:t>
            </w:r>
          </w:p>
        </w:tc>
        <w:tc>
          <w:tcPr>
            <w:tcW w:w="2835" w:type="dxa"/>
            <w:vAlign w:val="center"/>
          </w:tcPr>
          <w:p>
            <w:pPr>
              <w:pStyle w:val="18"/>
            </w:pPr>
            <w:r>
              <w:t>拆除及回装灯杆数量</w:t>
            </w:r>
          </w:p>
        </w:tc>
        <w:tc>
          <w:tcPr>
            <w:tcW w:w="2551" w:type="dxa"/>
            <w:vAlign w:val="center"/>
          </w:tcPr>
          <w:p>
            <w:pPr>
              <w:pStyle w:val="18"/>
            </w:pPr>
            <w:r>
              <w:t>38根</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设施完好率</w:t>
            </w:r>
          </w:p>
        </w:tc>
        <w:tc>
          <w:tcPr>
            <w:tcW w:w="2835" w:type="dxa"/>
            <w:vAlign w:val="center"/>
          </w:tcPr>
          <w:p>
            <w:pPr>
              <w:pStyle w:val="18"/>
            </w:pPr>
            <w:r>
              <w:t>维修保障设施完好率</w:t>
            </w:r>
          </w:p>
        </w:tc>
        <w:tc>
          <w:tcPr>
            <w:tcW w:w="2551" w:type="dxa"/>
            <w:vAlign w:val="center"/>
          </w:tcPr>
          <w:p>
            <w:pPr>
              <w:pStyle w:val="18"/>
            </w:pPr>
            <w:r>
              <w:t>100比率</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欠款支付及时性</w:t>
            </w:r>
          </w:p>
        </w:tc>
        <w:tc>
          <w:tcPr>
            <w:tcW w:w="2835" w:type="dxa"/>
            <w:vAlign w:val="center"/>
          </w:tcPr>
          <w:p>
            <w:pPr>
              <w:pStyle w:val="18"/>
            </w:pPr>
            <w:r>
              <w:t>按约定及时支付工程款</w:t>
            </w:r>
          </w:p>
        </w:tc>
        <w:tc>
          <w:tcPr>
            <w:tcW w:w="2551" w:type="dxa"/>
            <w:vAlign w:val="center"/>
          </w:tcPr>
          <w:p>
            <w:pPr>
              <w:pStyle w:val="18"/>
            </w:pPr>
            <w:r>
              <w:t>≤10月</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单位成本</w:t>
            </w:r>
          </w:p>
        </w:tc>
        <w:tc>
          <w:tcPr>
            <w:tcW w:w="2835" w:type="dxa"/>
            <w:vAlign w:val="center"/>
          </w:tcPr>
          <w:p>
            <w:pPr>
              <w:pStyle w:val="18"/>
            </w:pPr>
            <w:r>
              <w:t>拆除及回装每根路灯的平均单位成本</w:t>
            </w:r>
          </w:p>
        </w:tc>
        <w:tc>
          <w:tcPr>
            <w:tcW w:w="2551" w:type="dxa"/>
            <w:vAlign w:val="center"/>
          </w:tcPr>
          <w:p>
            <w:pPr>
              <w:pStyle w:val="18"/>
            </w:pPr>
            <w:r>
              <w:t>≤1.58万元</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路灯亮灯率</w:t>
            </w:r>
          </w:p>
        </w:tc>
        <w:tc>
          <w:tcPr>
            <w:tcW w:w="2835" w:type="dxa"/>
            <w:vAlign w:val="center"/>
          </w:tcPr>
          <w:p>
            <w:pPr>
              <w:pStyle w:val="18"/>
            </w:pPr>
            <w:r>
              <w:t>移除回装后亮灯率</w:t>
            </w:r>
          </w:p>
        </w:tc>
        <w:tc>
          <w:tcPr>
            <w:tcW w:w="2551" w:type="dxa"/>
            <w:vAlign w:val="center"/>
          </w:tcPr>
          <w:p>
            <w:pPr>
              <w:pStyle w:val="18"/>
            </w:pPr>
            <w:r>
              <w:t>100%</w:t>
            </w:r>
          </w:p>
        </w:tc>
        <w:tc>
          <w:tcPr>
            <w:tcW w:w="22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亮灯维持期限</w:t>
            </w:r>
          </w:p>
        </w:tc>
        <w:tc>
          <w:tcPr>
            <w:tcW w:w="2835" w:type="dxa"/>
            <w:vAlign w:val="center"/>
          </w:tcPr>
          <w:p>
            <w:pPr>
              <w:pStyle w:val="18"/>
            </w:pPr>
            <w:r>
              <w:t>移除回装后亮灯维持期限</w:t>
            </w:r>
          </w:p>
        </w:tc>
        <w:tc>
          <w:tcPr>
            <w:tcW w:w="2551" w:type="dxa"/>
            <w:vAlign w:val="center"/>
          </w:tcPr>
          <w:p>
            <w:pPr>
              <w:pStyle w:val="18"/>
            </w:pPr>
            <w:r>
              <w:t>≥1年</w:t>
            </w:r>
          </w:p>
        </w:tc>
        <w:tc>
          <w:tcPr>
            <w:tcW w:w="22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受益群体满意度</w:t>
            </w:r>
          </w:p>
        </w:tc>
        <w:tc>
          <w:tcPr>
            <w:tcW w:w="2835" w:type="dxa"/>
            <w:vAlign w:val="center"/>
          </w:tcPr>
          <w:p>
            <w:pPr>
              <w:pStyle w:val="18"/>
            </w:pPr>
            <w:r>
              <w:t>受益群体满意度</w:t>
            </w:r>
          </w:p>
        </w:tc>
        <w:tc>
          <w:tcPr>
            <w:tcW w:w="2551" w:type="dxa"/>
            <w:vAlign w:val="center"/>
          </w:tcPr>
          <w:p>
            <w:pPr>
              <w:pStyle w:val="18"/>
            </w:pPr>
            <w:r>
              <w:t>≥99%</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8、40座公厕管理运行费绩效目标表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1.对城区内40座公厕进行日常管理，配备专职保洁人员，解决群众如厕问题。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管理公厕数量</w:t>
            </w:r>
          </w:p>
        </w:tc>
        <w:tc>
          <w:tcPr>
            <w:tcW w:w="2835" w:type="dxa"/>
            <w:vAlign w:val="center"/>
          </w:tcPr>
          <w:p>
            <w:pPr>
              <w:pStyle w:val="18"/>
            </w:pPr>
            <w:r>
              <w:t>城区内公厕维修维护的数量</w:t>
            </w:r>
          </w:p>
        </w:tc>
        <w:tc>
          <w:tcPr>
            <w:tcW w:w="2551" w:type="dxa"/>
            <w:vAlign w:val="center"/>
          </w:tcPr>
          <w:p>
            <w:pPr>
              <w:pStyle w:val="18"/>
            </w:pPr>
            <w:r>
              <w:t>40座</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公厕卫生达标率</w:t>
            </w:r>
          </w:p>
        </w:tc>
        <w:tc>
          <w:tcPr>
            <w:tcW w:w="2835" w:type="dxa"/>
            <w:vAlign w:val="center"/>
          </w:tcPr>
          <w:p>
            <w:pPr>
              <w:pStyle w:val="18"/>
            </w:pPr>
            <w:r>
              <w:t>卫生达标率=公厕卫生达标的数量/管理公厕的总数量*100%</w:t>
            </w:r>
          </w:p>
        </w:tc>
        <w:tc>
          <w:tcPr>
            <w:tcW w:w="2551" w:type="dxa"/>
            <w:vAlign w:val="center"/>
          </w:tcPr>
          <w:p>
            <w:pPr>
              <w:pStyle w:val="18"/>
            </w:pPr>
            <w:r>
              <w:t>100%</w:t>
            </w:r>
          </w:p>
        </w:tc>
        <w:tc>
          <w:tcPr>
            <w:tcW w:w="2268" w:type="dxa"/>
            <w:vAlign w:val="center"/>
          </w:tcPr>
          <w:p>
            <w:pPr>
              <w:pStyle w:val="18"/>
            </w:pPr>
            <w:r>
              <w:t>《城市公共厕所卫生标准》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公厕每天清洁时长</w:t>
            </w:r>
          </w:p>
        </w:tc>
        <w:tc>
          <w:tcPr>
            <w:tcW w:w="2835" w:type="dxa"/>
            <w:vAlign w:val="center"/>
          </w:tcPr>
          <w:p>
            <w:pPr>
              <w:pStyle w:val="18"/>
            </w:pPr>
            <w:r>
              <w:t>反映公厕每天清洁时长</w:t>
            </w:r>
          </w:p>
        </w:tc>
        <w:tc>
          <w:tcPr>
            <w:tcW w:w="2551" w:type="dxa"/>
            <w:vAlign w:val="center"/>
          </w:tcPr>
          <w:p>
            <w:pPr>
              <w:pStyle w:val="18"/>
            </w:pPr>
            <w:r>
              <w:t>≥18小时</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每座公厕运行成本</w:t>
            </w:r>
          </w:p>
        </w:tc>
        <w:tc>
          <w:tcPr>
            <w:tcW w:w="2835" w:type="dxa"/>
            <w:vAlign w:val="center"/>
          </w:tcPr>
          <w:p>
            <w:pPr>
              <w:pStyle w:val="18"/>
            </w:pPr>
            <w:r>
              <w:t>每座公厕运行费</w:t>
            </w:r>
          </w:p>
        </w:tc>
        <w:tc>
          <w:tcPr>
            <w:tcW w:w="2551" w:type="dxa"/>
            <w:vAlign w:val="center"/>
          </w:tcPr>
          <w:p>
            <w:pPr>
              <w:pStyle w:val="18"/>
            </w:pPr>
            <w:r>
              <w:t>6.3万元/座</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疾病发生数</w:t>
            </w:r>
          </w:p>
        </w:tc>
        <w:tc>
          <w:tcPr>
            <w:tcW w:w="2835" w:type="dxa"/>
            <w:vAlign w:val="center"/>
          </w:tcPr>
          <w:p>
            <w:pPr>
              <w:pStyle w:val="18"/>
            </w:pPr>
            <w:r>
              <w:t>反映群众因公厕卫生发生疾病的数量</w:t>
            </w:r>
          </w:p>
        </w:tc>
        <w:tc>
          <w:tcPr>
            <w:tcW w:w="2551" w:type="dxa"/>
            <w:vAlign w:val="center"/>
          </w:tcPr>
          <w:p>
            <w:pPr>
              <w:pStyle w:val="18"/>
            </w:pPr>
            <w:r>
              <w:t>&lt;1起</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公厕正常运转天数</w:t>
            </w:r>
          </w:p>
        </w:tc>
        <w:tc>
          <w:tcPr>
            <w:tcW w:w="2835" w:type="dxa"/>
            <w:vAlign w:val="center"/>
          </w:tcPr>
          <w:p>
            <w:pPr>
              <w:pStyle w:val="18"/>
            </w:pPr>
            <w:r>
              <w:t>反映公厕正常运转情况</w:t>
            </w:r>
          </w:p>
        </w:tc>
        <w:tc>
          <w:tcPr>
            <w:tcW w:w="2551" w:type="dxa"/>
            <w:vAlign w:val="center"/>
          </w:tcPr>
          <w:p>
            <w:pPr>
              <w:pStyle w:val="18"/>
            </w:pPr>
            <w:r>
              <w:t>≥360天</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2835" w:type="dxa"/>
            <w:vAlign w:val="center"/>
          </w:tcPr>
          <w:p>
            <w:pPr>
              <w:pStyle w:val="18"/>
            </w:pPr>
            <w:r>
              <w:t>调查中满意和较满意的人数占调研总人数的比率</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9、城区保洁清扫清运项目经费绩效目标表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1.通过保证城区清扫保洁垃圾清运工作实际需要，垃圾日产日清，创卫生县城,提高作业标准。使2022年全年确保我县创建国家卫生县城城区环境卫生达到验收标准。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每日垃圾清运次数</w:t>
            </w:r>
          </w:p>
        </w:tc>
        <w:tc>
          <w:tcPr>
            <w:tcW w:w="2835" w:type="dxa"/>
            <w:vAlign w:val="center"/>
          </w:tcPr>
          <w:p>
            <w:pPr>
              <w:pStyle w:val="18"/>
            </w:pPr>
            <w:r>
              <w:t>反映每日垃圾清运次数</w:t>
            </w:r>
          </w:p>
        </w:tc>
        <w:tc>
          <w:tcPr>
            <w:tcW w:w="2551" w:type="dxa"/>
            <w:vAlign w:val="center"/>
          </w:tcPr>
          <w:p>
            <w:pPr>
              <w:pStyle w:val="18"/>
            </w:pPr>
            <w:r>
              <w:t>5次</w:t>
            </w:r>
          </w:p>
        </w:tc>
        <w:tc>
          <w:tcPr>
            <w:tcW w:w="2268" w:type="dxa"/>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每日平均机械清扫次数</w:t>
            </w:r>
          </w:p>
        </w:tc>
        <w:tc>
          <w:tcPr>
            <w:tcW w:w="2835" w:type="dxa"/>
            <w:vAlign w:val="center"/>
          </w:tcPr>
          <w:p>
            <w:pPr>
              <w:pStyle w:val="18"/>
            </w:pPr>
            <w:r>
              <w:t>反映每日平均机械清扫次数</w:t>
            </w:r>
          </w:p>
        </w:tc>
        <w:tc>
          <w:tcPr>
            <w:tcW w:w="2551" w:type="dxa"/>
            <w:vAlign w:val="center"/>
          </w:tcPr>
          <w:p>
            <w:pPr>
              <w:pStyle w:val="18"/>
            </w:pPr>
            <w:r>
              <w:t>9次</w:t>
            </w:r>
          </w:p>
        </w:tc>
        <w:tc>
          <w:tcPr>
            <w:tcW w:w="2268" w:type="dxa"/>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人工清洁次数</w:t>
            </w:r>
          </w:p>
        </w:tc>
        <w:tc>
          <w:tcPr>
            <w:tcW w:w="2835" w:type="dxa"/>
            <w:vAlign w:val="center"/>
          </w:tcPr>
          <w:p>
            <w:pPr>
              <w:pStyle w:val="18"/>
            </w:pPr>
            <w:r>
              <w:t>反映每日人工清洁次数</w:t>
            </w:r>
          </w:p>
        </w:tc>
        <w:tc>
          <w:tcPr>
            <w:tcW w:w="2551" w:type="dxa"/>
            <w:vAlign w:val="center"/>
          </w:tcPr>
          <w:p>
            <w:pPr>
              <w:pStyle w:val="18"/>
            </w:pPr>
            <w:r>
              <w:t>5次</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洒水次数</w:t>
            </w:r>
          </w:p>
        </w:tc>
        <w:tc>
          <w:tcPr>
            <w:tcW w:w="2835" w:type="dxa"/>
            <w:vAlign w:val="center"/>
          </w:tcPr>
          <w:p>
            <w:pPr>
              <w:pStyle w:val="18"/>
            </w:pPr>
            <w:r>
              <w:t>反映洒水街道数，城区7条主次干道</w:t>
            </w:r>
          </w:p>
        </w:tc>
        <w:tc>
          <w:tcPr>
            <w:tcW w:w="2551" w:type="dxa"/>
            <w:vAlign w:val="center"/>
          </w:tcPr>
          <w:p>
            <w:pPr>
              <w:pStyle w:val="18"/>
            </w:pPr>
            <w:r>
              <w:t>7条</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人均清扫面积</w:t>
            </w:r>
          </w:p>
        </w:tc>
        <w:tc>
          <w:tcPr>
            <w:tcW w:w="2835" w:type="dxa"/>
            <w:vAlign w:val="center"/>
          </w:tcPr>
          <w:p>
            <w:pPr>
              <w:pStyle w:val="18"/>
            </w:pPr>
            <w:r>
              <w:t>反映人均清扫面积</w:t>
            </w:r>
          </w:p>
        </w:tc>
        <w:tc>
          <w:tcPr>
            <w:tcW w:w="2551" w:type="dxa"/>
            <w:vAlign w:val="center"/>
          </w:tcPr>
          <w:p>
            <w:pPr>
              <w:pStyle w:val="18"/>
            </w:pPr>
            <w:r>
              <w:t>5000平米</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项目实施使清扫清运达到的标准等级</w:t>
            </w:r>
          </w:p>
        </w:tc>
        <w:tc>
          <w:tcPr>
            <w:tcW w:w="2551" w:type="dxa"/>
            <w:vAlign w:val="center"/>
          </w:tcPr>
          <w:p>
            <w:pPr>
              <w:pStyle w:val="18"/>
            </w:pPr>
            <w:r>
              <w:t>100%</w:t>
            </w:r>
          </w:p>
        </w:tc>
        <w:tc>
          <w:tcPr>
            <w:tcW w:w="2268" w:type="dxa"/>
            <w:vAlign w:val="center"/>
          </w:tcPr>
          <w:p>
            <w:pPr>
              <w:pStyle w:val="18"/>
            </w:pPr>
            <w:r>
              <w:t>全国卫生县城考核标准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城区清扫清运每天运行时间</w:t>
            </w:r>
          </w:p>
        </w:tc>
        <w:tc>
          <w:tcPr>
            <w:tcW w:w="2835" w:type="dxa"/>
            <w:vAlign w:val="center"/>
          </w:tcPr>
          <w:p>
            <w:pPr>
              <w:pStyle w:val="18"/>
            </w:pPr>
            <w:r>
              <w:t>反映项目的时时保持城区清扫清运每天运行时间</w:t>
            </w:r>
          </w:p>
        </w:tc>
        <w:tc>
          <w:tcPr>
            <w:tcW w:w="2551" w:type="dxa"/>
            <w:vAlign w:val="center"/>
          </w:tcPr>
          <w:p>
            <w:pPr>
              <w:pStyle w:val="18"/>
            </w:pPr>
            <w:r>
              <w:t>≥18小时</w:t>
            </w:r>
          </w:p>
        </w:tc>
        <w:tc>
          <w:tcPr>
            <w:tcW w:w="2268" w:type="dxa"/>
            <w:vAlign w:val="center"/>
          </w:tcPr>
          <w:p>
            <w:pPr>
              <w:pStyle w:val="18"/>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城区清扫清运单位成本</w:t>
            </w:r>
          </w:p>
        </w:tc>
        <w:tc>
          <w:tcPr>
            <w:tcW w:w="2835" w:type="dxa"/>
            <w:vAlign w:val="center"/>
          </w:tcPr>
          <w:p>
            <w:pPr>
              <w:pStyle w:val="18"/>
            </w:pPr>
            <w:r>
              <w:t>每平米每年城区清扫清运费用</w:t>
            </w:r>
          </w:p>
        </w:tc>
        <w:tc>
          <w:tcPr>
            <w:tcW w:w="2551" w:type="dxa"/>
            <w:vAlign w:val="center"/>
          </w:tcPr>
          <w:p>
            <w:pPr>
              <w:pStyle w:val="18"/>
            </w:pPr>
            <w:r>
              <w:t>≤9.19元/平米/年</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街道卫生达标率</w:t>
            </w:r>
          </w:p>
        </w:tc>
        <w:tc>
          <w:tcPr>
            <w:tcW w:w="2835" w:type="dxa"/>
            <w:vAlign w:val="center"/>
          </w:tcPr>
          <w:p>
            <w:pPr>
              <w:pStyle w:val="18"/>
            </w:pPr>
            <w:r>
              <w:t>反映项目的实施对城区街道干净整洁的保持情况</w:t>
            </w:r>
          </w:p>
        </w:tc>
        <w:tc>
          <w:tcPr>
            <w:tcW w:w="2551" w:type="dxa"/>
            <w:vAlign w:val="center"/>
          </w:tcPr>
          <w:p>
            <w:pPr>
              <w:pStyle w:val="18"/>
            </w:pPr>
            <w:r>
              <w:t>≥100%</w:t>
            </w:r>
          </w:p>
        </w:tc>
        <w:tc>
          <w:tcPr>
            <w:tcW w:w="2268" w:type="dxa"/>
            <w:vAlign w:val="center"/>
          </w:tcPr>
          <w:p>
            <w:pPr>
              <w:pStyle w:val="18"/>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城区清扫保洁期限</w:t>
            </w:r>
          </w:p>
        </w:tc>
        <w:tc>
          <w:tcPr>
            <w:tcW w:w="2835" w:type="dxa"/>
            <w:vAlign w:val="center"/>
          </w:tcPr>
          <w:p>
            <w:pPr>
              <w:pStyle w:val="18"/>
            </w:pPr>
            <w:r>
              <w:t>城区清扫保洁期限</w:t>
            </w:r>
          </w:p>
        </w:tc>
        <w:tc>
          <w:tcPr>
            <w:tcW w:w="2551" w:type="dxa"/>
            <w:vAlign w:val="center"/>
          </w:tcPr>
          <w:p>
            <w:pPr>
              <w:pStyle w:val="18"/>
            </w:pPr>
            <w:r>
              <w:t>3年</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城区群众满意度</w:t>
            </w:r>
          </w:p>
        </w:tc>
        <w:tc>
          <w:tcPr>
            <w:tcW w:w="2835" w:type="dxa"/>
            <w:vAlign w:val="center"/>
          </w:tcPr>
          <w:p>
            <w:pPr>
              <w:pStyle w:val="18"/>
            </w:pPr>
            <w:r>
              <w:t>城区群众对街道卫生管理情况的满意程度</w:t>
            </w:r>
          </w:p>
        </w:tc>
        <w:tc>
          <w:tcPr>
            <w:tcW w:w="2551" w:type="dxa"/>
            <w:vAlign w:val="center"/>
          </w:tcPr>
          <w:p>
            <w:pPr>
              <w:pStyle w:val="18"/>
            </w:pPr>
            <w:r>
              <w:t>≥95%</w:t>
            </w:r>
          </w:p>
        </w:tc>
        <w:tc>
          <w:tcPr>
            <w:tcW w:w="2268" w:type="dxa"/>
            <w:vAlign w:val="center"/>
          </w:tcPr>
          <w:p>
            <w:pPr>
              <w:pStyle w:val="18"/>
            </w:pPr>
            <w:r>
              <w:t>根据满意度调查结果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10、大安西街（电视台至养光路口段）路灯线缆更换工程部分资金绩效目标表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1.通过更换路灯线缆860米，保障街道照明设施正常运行。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更换线缆长度</w:t>
            </w:r>
          </w:p>
        </w:tc>
        <w:tc>
          <w:tcPr>
            <w:tcW w:w="2835" w:type="dxa"/>
            <w:vAlign w:val="center"/>
          </w:tcPr>
          <w:p>
            <w:pPr>
              <w:pStyle w:val="18"/>
            </w:pPr>
            <w:r>
              <w:t>更换地下线缆穿越长度</w:t>
            </w:r>
          </w:p>
        </w:tc>
        <w:tc>
          <w:tcPr>
            <w:tcW w:w="2551" w:type="dxa"/>
            <w:vAlign w:val="center"/>
          </w:tcPr>
          <w:p>
            <w:pPr>
              <w:pStyle w:val="18"/>
            </w:pPr>
            <w:r>
              <w:t>860米</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亮灯率</w:t>
            </w:r>
          </w:p>
        </w:tc>
        <w:tc>
          <w:tcPr>
            <w:tcW w:w="2835" w:type="dxa"/>
            <w:vAlign w:val="center"/>
          </w:tcPr>
          <w:p>
            <w:pPr>
              <w:pStyle w:val="18"/>
            </w:pPr>
            <w:r>
              <w:t>路灯正常运行的比例</w:t>
            </w:r>
          </w:p>
        </w:tc>
        <w:tc>
          <w:tcPr>
            <w:tcW w:w="2551" w:type="dxa"/>
            <w:vAlign w:val="center"/>
          </w:tcPr>
          <w:p>
            <w:pPr>
              <w:pStyle w:val="18"/>
            </w:pPr>
            <w:r>
              <w:t>≥99比率</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欠款支付时间</w:t>
            </w:r>
          </w:p>
        </w:tc>
        <w:tc>
          <w:tcPr>
            <w:tcW w:w="2835" w:type="dxa"/>
            <w:vAlign w:val="center"/>
          </w:tcPr>
          <w:p>
            <w:pPr>
              <w:pStyle w:val="18"/>
            </w:pPr>
            <w:r>
              <w:t>支付工程欠款的时间</w:t>
            </w:r>
          </w:p>
        </w:tc>
        <w:tc>
          <w:tcPr>
            <w:tcW w:w="2551" w:type="dxa"/>
            <w:vAlign w:val="center"/>
          </w:tcPr>
          <w:p>
            <w:pPr>
              <w:pStyle w:val="18"/>
            </w:pPr>
            <w:r>
              <w:t>≤1月</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欠款支付金额</w:t>
            </w:r>
          </w:p>
        </w:tc>
        <w:tc>
          <w:tcPr>
            <w:tcW w:w="2835" w:type="dxa"/>
            <w:vAlign w:val="center"/>
          </w:tcPr>
          <w:p>
            <w:pPr>
              <w:pStyle w:val="18"/>
            </w:pPr>
            <w:r>
              <w:t>工程剩余欠款</w:t>
            </w:r>
          </w:p>
        </w:tc>
        <w:tc>
          <w:tcPr>
            <w:tcW w:w="2551" w:type="dxa"/>
            <w:vAlign w:val="center"/>
          </w:tcPr>
          <w:p>
            <w:pPr>
              <w:pStyle w:val="18"/>
            </w:pPr>
            <w:r>
              <w:t>3.65万元</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保障社会安定范围</w:t>
            </w:r>
          </w:p>
        </w:tc>
        <w:tc>
          <w:tcPr>
            <w:tcW w:w="2835" w:type="dxa"/>
            <w:vAlign w:val="center"/>
          </w:tcPr>
          <w:p>
            <w:pPr>
              <w:pStyle w:val="18"/>
            </w:pPr>
            <w:r>
              <w:t>路灯线缆更换，保障亮灯率，维持社会安定</w:t>
            </w:r>
          </w:p>
        </w:tc>
        <w:tc>
          <w:tcPr>
            <w:tcW w:w="2551" w:type="dxa"/>
            <w:vAlign w:val="center"/>
          </w:tcPr>
          <w:p>
            <w:pPr>
              <w:pStyle w:val="18"/>
            </w:pPr>
            <w:r>
              <w:t>电视台至养光路口</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照明设施正常运转天数</w:t>
            </w:r>
          </w:p>
        </w:tc>
        <w:tc>
          <w:tcPr>
            <w:tcW w:w="2835" w:type="dxa"/>
            <w:vAlign w:val="center"/>
          </w:tcPr>
          <w:p>
            <w:pPr>
              <w:pStyle w:val="18"/>
            </w:pPr>
            <w:r>
              <w:t>保障街道照明设施正常运转的天数</w:t>
            </w:r>
          </w:p>
        </w:tc>
        <w:tc>
          <w:tcPr>
            <w:tcW w:w="2551" w:type="dxa"/>
            <w:vAlign w:val="center"/>
          </w:tcPr>
          <w:p>
            <w:pPr>
              <w:pStyle w:val="18"/>
            </w:pPr>
            <w:r>
              <w:t>365天</w:t>
            </w:r>
          </w:p>
        </w:tc>
        <w:tc>
          <w:tcPr>
            <w:tcW w:w="2268"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居民满意度</w:t>
            </w:r>
          </w:p>
        </w:tc>
        <w:tc>
          <w:tcPr>
            <w:tcW w:w="2835" w:type="dxa"/>
            <w:vAlign w:val="center"/>
          </w:tcPr>
          <w:p>
            <w:pPr>
              <w:pStyle w:val="18"/>
            </w:pPr>
            <w:r>
              <w:t>对服务对象满意度进行调查，满意人数占比</w:t>
            </w:r>
          </w:p>
        </w:tc>
        <w:tc>
          <w:tcPr>
            <w:tcW w:w="2551" w:type="dxa"/>
            <w:vAlign w:val="center"/>
          </w:tcPr>
          <w:p>
            <w:pPr>
              <w:pStyle w:val="18"/>
            </w:pPr>
            <w:r>
              <w:t>≥95比率</w:t>
            </w:r>
          </w:p>
        </w:tc>
        <w:tc>
          <w:tcPr>
            <w:tcW w:w="2268" w:type="dxa"/>
            <w:vAlign w:val="center"/>
          </w:tcPr>
          <w:p>
            <w:pPr>
              <w:pStyle w:val="18"/>
            </w:pPr>
            <w:r>
              <w:t>根据满意度调查结果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11、大厂回族自治县农村生活垃圾清扫、保洁、清运一体化处理PPP项目运行经费绩效目标表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PPP模式引入专业的、有管理经验的环卫公司进行农村生活垃圾清扫、保洁、清运，使农村村街环境整洁有序，同时防止村街产生垃圾累积污染环境。最终建立农村生活垃圾全天候保洁、集中无害处理的长效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管理村庄数</w:t>
            </w:r>
          </w:p>
        </w:tc>
        <w:tc>
          <w:tcPr>
            <w:tcW w:w="2835" w:type="dxa"/>
            <w:vAlign w:val="center"/>
          </w:tcPr>
          <w:p>
            <w:pPr>
              <w:pStyle w:val="18"/>
            </w:pPr>
            <w:r>
              <w:t>垃圾清扫、保洁、清运涉及村庄数</w:t>
            </w:r>
          </w:p>
        </w:tc>
        <w:tc>
          <w:tcPr>
            <w:tcW w:w="2551" w:type="dxa"/>
            <w:vAlign w:val="center"/>
          </w:tcPr>
          <w:p>
            <w:pPr>
              <w:pStyle w:val="18"/>
            </w:pPr>
            <w:r>
              <w:t>95个</w:t>
            </w:r>
          </w:p>
        </w:tc>
        <w:tc>
          <w:tcPr>
            <w:tcW w:w="2268"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日垃圾清运率</w:t>
            </w:r>
          </w:p>
        </w:tc>
        <w:tc>
          <w:tcPr>
            <w:tcW w:w="2835" w:type="dxa"/>
            <w:vAlign w:val="center"/>
          </w:tcPr>
          <w:p>
            <w:pPr>
              <w:pStyle w:val="18"/>
            </w:pPr>
            <w:r>
              <w:t>日清运垃圾量与日产生垃圾量的比例</w:t>
            </w:r>
          </w:p>
        </w:tc>
        <w:tc>
          <w:tcPr>
            <w:tcW w:w="2551" w:type="dxa"/>
            <w:vAlign w:val="center"/>
          </w:tcPr>
          <w:p>
            <w:pPr>
              <w:pStyle w:val="18"/>
            </w:pPr>
            <w:r>
              <w:t>100%</w:t>
            </w:r>
          </w:p>
        </w:tc>
        <w:tc>
          <w:tcPr>
            <w:tcW w:w="2268"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年清运率</w:t>
            </w:r>
          </w:p>
        </w:tc>
        <w:tc>
          <w:tcPr>
            <w:tcW w:w="2835" w:type="dxa"/>
            <w:vAlign w:val="center"/>
          </w:tcPr>
          <w:p>
            <w:pPr>
              <w:pStyle w:val="18"/>
            </w:pPr>
            <w:r>
              <w:t>清运总天数与全年天数的比例</w:t>
            </w:r>
          </w:p>
        </w:tc>
        <w:tc>
          <w:tcPr>
            <w:tcW w:w="2551" w:type="dxa"/>
            <w:vAlign w:val="center"/>
          </w:tcPr>
          <w:p>
            <w:pPr>
              <w:pStyle w:val="18"/>
            </w:pPr>
            <w:r>
              <w:t>100%</w:t>
            </w:r>
          </w:p>
        </w:tc>
        <w:tc>
          <w:tcPr>
            <w:tcW w:w="2268"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垃圾清扫清运及时率</w:t>
            </w:r>
          </w:p>
        </w:tc>
        <w:tc>
          <w:tcPr>
            <w:tcW w:w="2835" w:type="dxa"/>
            <w:vAlign w:val="center"/>
          </w:tcPr>
          <w:p>
            <w:pPr>
              <w:pStyle w:val="18"/>
            </w:pPr>
            <w:r>
              <w:t>垃圾清扫清运及时情况</w:t>
            </w:r>
          </w:p>
        </w:tc>
        <w:tc>
          <w:tcPr>
            <w:tcW w:w="2551" w:type="dxa"/>
            <w:vAlign w:val="center"/>
          </w:tcPr>
          <w:p>
            <w:pPr>
              <w:pStyle w:val="18"/>
            </w:pPr>
            <w:r>
              <w:t>100%</w:t>
            </w:r>
          </w:p>
        </w:tc>
        <w:tc>
          <w:tcPr>
            <w:tcW w:w="2268"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成本偏离率</w:t>
            </w:r>
          </w:p>
        </w:tc>
        <w:tc>
          <w:tcPr>
            <w:tcW w:w="2835" w:type="dxa"/>
            <w:vAlign w:val="center"/>
          </w:tcPr>
          <w:p>
            <w:pPr>
              <w:pStyle w:val="18"/>
            </w:pPr>
            <w:r>
              <w:t>项目成本偏离预算资金比率的绝对值</w:t>
            </w:r>
          </w:p>
        </w:tc>
        <w:tc>
          <w:tcPr>
            <w:tcW w:w="2551" w:type="dxa"/>
            <w:vAlign w:val="center"/>
          </w:tcPr>
          <w:p>
            <w:pPr>
              <w:pStyle w:val="18"/>
            </w:pPr>
            <w:r>
              <w:t>≤10%</w:t>
            </w:r>
          </w:p>
        </w:tc>
        <w:tc>
          <w:tcPr>
            <w:tcW w:w="2268"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垃圾清运覆盖率</w:t>
            </w:r>
          </w:p>
        </w:tc>
        <w:tc>
          <w:tcPr>
            <w:tcW w:w="2835" w:type="dxa"/>
            <w:vAlign w:val="center"/>
          </w:tcPr>
          <w:p>
            <w:pPr>
              <w:pStyle w:val="18"/>
            </w:pPr>
            <w:r>
              <w:t>垃圾清运数量与产生垃圾总数量的比例</w:t>
            </w:r>
          </w:p>
        </w:tc>
        <w:tc>
          <w:tcPr>
            <w:tcW w:w="2551" w:type="dxa"/>
            <w:vAlign w:val="center"/>
          </w:tcPr>
          <w:p>
            <w:pPr>
              <w:pStyle w:val="18"/>
            </w:pPr>
            <w:r>
              <w:t>100%</w:t>
            </w:r>
          </w:p>
        </w:tc>
        <w:tc>
          <w:tcPr>
            <w:tcW w:w="2268"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疾病传播情况</w:t>
            </w:r>
          </w:p>
        </w:tc>
        <w:tc>
          <w:tcPr>
            <w:tcW w:w="2835" w:type="dxa"/>
            <w:vAlign w:val="center"/>
          </w:tcPr>
          <w:p>
            <w:pPr>
              <w:pStyle w:val="18"/>
            </w:pPr>
            <w:r>
              <w:t>消除和减少疾病传播年限</w:t>
            </w:r>
          </w:p>
        </w:tc>
        <w:tc>
          <w:tcPr>
            <w:tcW w:w="2551" w:type="dxa"/>
            <w:vAlign w:val="center"/>
          </w:tcPr>
          <w:p>
            <w:pPr>
              <w:pStyle w:val="18"/>
            </w:pPr>
            <w:r>
              <w:t>≥1年</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村民满意度</w:t>
            </w:r>
          </w:p>
        </w:tc>
        <w:tc>
          <w:tcPr>
            <w:tcW w:w="2835" w:type="dxa"/>
            <w:vAlign w:val="center"/>
          </w:tcPr>
          <w:p>
            <w:pPr>
              <w:pStyle w:val="18"/>
            </w:pPr>
            <w:r>
              <w:t>村民对垃圾清扫清运工作的满意程度</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12、大厂县建筑垃圾消纳场2022-2023年运营管理服务协议书项目经费绩效目标表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1.大马庄建筑垃圾的填埋消纳场地处偏远，安排4个专人昼夜看守，负责进出场管理、现场管理、苫盖、推平等，避免造成偷倒垃圾行为发生。</w:t>
            </w:r>
            <w:r>
              <w:tab/>
            </w:r>
            <w:r>
              <w:tab/>
            </w:r>
            <w:r>
              <w:tab/>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看守人员数量</w:t>
            </w:r>
          </w:p>
        </w:tc>
        <w:tc>
          <w:tcPr>
            <w:tcW w:w="2835" w:type="dxa"/>
            <w:vAlign w:val="center"/>
          </w:tcPr>
          <w:p>
            <w:pPr>
              <w:pStyle w:val="18"/>
            </w:pPr>
            <w:r>
              <w:t>昼夜看守垃圾消纳场的人员数量</w:t>
            </w:r>
          </w:p>
        </w:tc>
        <w:tc>
          <w:tcPr>
            <w:tcW w:w="2551" w:type="dxa"/>
            <w:vAlign w:val="center"/>
          </w:tcPr>
          <w:p>
            <w:pPr>
              <w:pStyle w:val="18"/>
            </w:pPr>
            <w:r>
              <w:t>＝4人</w:t>
            </w:r>
          </w:p>
        </w:tc>
        <w:tc>
          <w:tcPr>
            <w:tcW w:w="2268" w:type="dxa"/>
            <w:vAlign w:val="center"/>
          </w:tcPr>
          <w:p>
            <w:pPr>
              <w:pStyle w:val="18"/>
            </w:pPr>
            <w:r>
              <w:t>请示、合同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看守人员出勤率</w:t>
            </w:r>
          </w:p>
        </w:tc>
        <w:tc>
          <w:tcPr>
            <w:tcW w:w="2835" w:type="dxa"/>
            <w:vAlign w:val="center"/>
          </w:tcPr>
          <w:p>
            <w:pPr>
              <w:pStyle w:val="18"/>
            </w:pPr>
            <w:r>
              <w:t>昼夜看守人员的出勤率</w:t>
            </w:r>
          </w:p>
        </w:tc>
        <w:tc>
          <w:tcPr>
            <w:tcW w:w="2551" w:type="dxa"/>
            <w:vAlign w:val="center"/>
          </w:tcPr>
          <w:p>
            <w:pPr>
              <w:pStyle w:val="18"/>
            </w:pPr>
            <w:r>
              <w:t>≥100%</w:t>
            </w:r>
          </w:p>
        </w:tc>
        <w:tc>
          <w:tcPr>
            <w:tcW w:w="2268" w:type="dxa"/>
            <w:vAlign w:val="center"/>
          </w:tcPr>
          <w:p>
            <w:pPr>
              <w:pStyle w:val="18"/>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2022年预算拨付完成时间</w:t>
            </w:r>
          </w:p>
        </w:tc>
        <w:tc>
          <w:tcPr>
            <w:tcW w:w="2835" w:type="dxa"/>
            <w:vAlign w:val="center"/>
          </w:tcPr>
          <w:p>
            <w:pPr>
              <w:pStyle w:val="18"/>
            </w:pPr>
            <w:r>
              <w:t>2022年该项目预算成本拨付完成时间</w:t>
            </w:r>
          </w:p>
        </w:tc>
        <w:tc>
          <w:tcPr>
            <w:tcW w:w="2551" w:type="dxa"/>
            <w:vAlign w:val="center"/>
          </w:tcPr>
          <w:p>
            <w:pPr>
              <w:pStyle w:val="18"/>
            </w:pPr>
            <w:r>
              <w:t>≤1年</w:t>
            </w:r>
          </w:p>
        </w:tc>
        <w:tc>
          <w:tcPr>
            <w:tcW w:w="2268" w:type="dxa"/>
            <w:vAlign w:val="center"/>
          </w:tcPr>
          <w:p>
            <w:pPr>
              <w:pStyle w:val="18"/>
            </w:pPr>
            <w:r>
              <w:t>资金支付进度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每天管理成本</w:t>
            </w:r>
          </w:p>
        </w:tc>
        <w:tc>
          <w:tcPr>
            <w:tcW w:w="2835" w:type="dxa"/>
            <w:vAlign w:val="center"/>
          </w:tcPr>
          <w:p>
            <w:pPr>
              <w:pStyle w:val="18"/>
            </w:pPr>
            <w:r>
              <w:t>消纳场评价每天管理成本</w:t>
            </w:r>
          </w:p>
        </w:tc>
        <w:tc>
          <w:tcPr>
            <w:tcW w:w="2551" w:type="dxa"/>
            <w:vAlign w:val="center"/>
          </w:tcPr>
          <w:p>
            <w:pPr>
              <w:pStyle w:val="18"/>
            </w:pPr>
            <w:r>
              <w:t>≤519元</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偷倒垃圾发生次数</w:t>
            </w:r>
          </w:p>
        </w:tc>
        <w:tc>
          <w:tcPr>
            <w:tcW w:w="2835" w:type="dxa"/>
            <w:vAlign w:val="center"/>
          </w:tcPr>
          <w:p>
            <w:pPr>
              <w:pStyle w:val="18"/>
            </w:pPr>
            <w:r>
              <w:t>安排专人昼夜看守，避免造成偷倒垃圾行为发生。</w:t>
            </w:r>
          </w:p>
        </w:tc>
        <w:tc>
          <w:tcPr>
            <w:tcW w:w="2551" w:type="dxa"/>
            <w:vAlign w:val="center"/>
          </w:tcPr>
          <w:p>
            <w:pPr>
              <w:pStyle w:val="18"/>
            </w:pPr>
            <w:r>
              <w:t>0次</w:t>
            </w:r>
          </w:p>
        </w:tc>
        <w:tc>
          <w:tcPr>
            <w:tcW w:w="2268" w:type="dxa"/>
            <w:vAlign w:val="center"/>
          </w:tcPr>
          <w:p>
            <w:pPr>
              <w:pStyle w:val="18"/>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管理服务期限</w:t>
            </w:r>
          </w:p>
        </w:tc>
        <w:tc>
          <w:tcPr>
            <w:tcW w:w="2835" w:type="dxa"/>
            <w:vAlign w:val="center"/>
          </w:tcPr>
          <w:p>
            <w:pPr>
              <w:pStyle w:val="18"/>
            </w:pPr>
            <w:r>
              <w:t>运营管理服务的期限</w:t>
            </w:r>
          </w:p>
        </w:tc>
        <w:tc>
          <w:tcPr>
            <w:tcW w:w="2551" w:type="dxa"/>
            <w:vAlign w:val="center"/>
          </w:tcPr>
          <w:p>
            <w:pPr>
              <w:pStyle w:val="18"/>
            </w:pPr>
            <w:r>
              <w:t>1年</w:t>
            </w:r>
          </w:p>
        </w:tc>
        <w:tc>
          <w:tcPr>
            <w:tcW w:w="2268" w:type="dxa"/>
            <w:vAlign w:val="center"/>
          </w:tcPr>
          <w:p>
            <w:pPr>
              <w:pStyle w:val="18"/>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受益群体满意度</w:t>
            </w:r>
          </w:p>
        </w:tc>
        <w:tc>
          <w:tcPr>
            <w:tcW w:w="2835" w:type="dxa"/>
            <w:vAlign w:val="center"/>
          </w:tcPr>
          <w:p>
            <w:pPr>
              <w:pStyle w:val="18"/>
            </w:pPr>
            <w:r>
              <w:t>受益群体满意程度</w:t>
            </w:r>
          </w:p>
        </w:tc>
        <w:tc>
          <w:tcPr>
            <w:tcW w:w="2551" w:type="dxa"/>
            <w:vAlign w:val="center"/>
          </w:tcPr>
          <w:p>
            <w:pPr>
              <w:pStyle w:val="18"/>
            </w:pPr>
            <w:r>
              <w:t>≥95%</w:t>
            </w:r>
          </w:p>
        </w:tc>
        <w:tc>
          <w:tcPr>
            <w:tcW w:w="2268" w:type="dxa"/>
            <w:vAlign w:val="center"/>
          </w:tcPr>
          <w:p>
            <w:pPr>
              <w:pStyle w:val="18"/>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13、大厂县垃圾填埋场新建工程（一期）结算评审费绩效目标表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1.通过在县城周边合理场地建设一座日处理200吨的垃圾填埋场，有效的解决大厂县生活垃圾处置问题。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垃圾日处理吨数</w:t>
            </w:r>
          </w:p>
        </w:tc>
        <w:tc>
          <w:tcPr>
            <w:tcW w:w="2835" w:type="dxa"/>
            <w:vAlign w:val="center"/>
          </w:tcPr>
          <w:p>
            <w:pPr>
              <w:pStyle w:val="18"/>
            </w:pPr>
            <w:r>
              <w:t>填埋场日处理垃圾的吨数</w:t>
            </w:r>
          </w:p>
        </w:tc>
        <w:tc>
          <w:tcPr>
            <w:tcW w:w="2551" w:type="dxa"/>
            <w:vAlign w:val="center"/>
          </w:tcPr>
          <w:p>
            <w:pPr>
              <w:pStyle w:val="18"/>
            </w:pPr>
            <w:r>
              <w:t>≥200吨</w:t>
            </w:r>
          </w:p>
        </w:tc>
        <w:tc>
          <w:tcPr>
            <w:tcW w:w="2268" w:type="dxa"/>
            <w:vAlign w:val="center"/>
          </w:tcPr>
          <w:p>
            <w:pPr>
              <w:pStyle w:val="18"/>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竣工验收合格率</w:t>
            </w:r>
          </w:p>
        </w:tc>
        <w:tc>
          <w:tcPr>
            <w:tcW w:w="2835" w:type="dxa"/>
            <w:vAlign w:val="center"/>
          </w:tcPr>
          <w:p>
            <w:pPr>
              <w:pStyle w:val="18"/>
            </w:pPr>
            <w:r>
              <w:t>竣工验收合格率</w:t>
            </w:r>
          </w:p>
        </w:tc>
        <w:tc>
          <w:tcPr>
            <w:tcW w:w="2551" w:type="dxa"/>
            <w:vAlign w:val="center"/>
          </w:tcPr>
          <w:p>
            <w:pPr>
              <w:pStyle w:val="18"/>
            </w:pPr>
            <w:r>
              <w:t>≥95%</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拨款完成及时率</w:t>
            </w:r>
          </w:p>
        </w:tc>
        <w:tc>
          <w:tcPr>
            <w:tcW w:w="2835" w:type="dxa"/>
            <w:vAlign w:val="center"/>
          </w:tcPr>
          <w:p>
            <w:pPr>
              <w:pStyle w:val="18"/>
            </w:pPr>
            <w:r>
              <w:t>在规定的时间节点内完成拨款</w:t>
            </w:r>
          </w:p>
        </w:tc>
        <w:tc>
          <w:tcPr>
            <w:tcW w:w="2551" w:type="dxa"/>
            <w:vAlign w:val="center"/>
          </w:tcPr>
          <w:p>
            <w:pPr>
              <w:pStyle w:val="18"/>
            </w:pPr>
            <w:r>
              <w:t>100%</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成本偏离率</w:t>
            </w:r>
          </w:p>
        </w:tc>
        <w:tc>
          <w:tcPr>
            <w:tcW w:w="2835" w:type="dxa"/>
            <w:vAlign w:val="center"/>
          </w:tcPr>
          <w:p>
            <w:pPr>
              <w:pStyle w:val="18"/>
            </w:pPr>
            <w:r>
              <w:t>项目成本偏离预算资金比率的绝对值</w:t>
            </w:r>
          </w:p>
        </w:tc>
        <w:tc>
          <w:tcPr>
            <w:tcW w:w="2551" w:type="dxa"/>
            <w:vAlign w:val="center"/>
          </w:tcPr>
          <w:p>
            <w:pPr>
              <w:pStyle w:val="18"/>
            </w:pPr>
            <w:r>
              <w:t>≤10%</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生活垃圾无害化处理率</w:t>
            </w:r>
          </w:p>
        </w:tc>
        <w:tc>
          <w:tcPr>
            <w:tcW w:w="2835" w:type="dxa"/>
            <w:vAlign w:val="center"/>
          </w:tcPr>
          <w:p>
            <w:pPr>
              <w:pStyle w:val="18"/>
            </w:pPr>
            <w:r>
              <w:t>大厂县生活垃圾无害化处理率</w:t>
            </w:r>
          </w:p>
        </w:tc>
        <w:tc>
          <w:tcPr>
            <w:tcW w:w="2551" w:type="dxa"/>
            <w:vAlign w:val="center"/>
          </w:tcPr>
          <w:p>
            <w:pPr>
              <w:pStyle w:val="18"/>
            </w:pPr>
            <w:r>
              <w:t>≥95%</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使用年限</w:t>
            </w:r>
          </w:p>
        </w:tc>
        <w:tc>
          <w:tcPr>
            <w:tcW w:w="2835" w:type="dxa"/>
            <w:vAlign w:val="center"/>
          </w:tcPr>
          <w:p>
            <w:pPr>
              <w:pStyle w:val="18"/>
            </w:pPr>
            <w:r>
              <w:t>建立垃圾填埋场可使用年限</w:t>
            </w:r>
          </w:p>
        </w:tc>
        <w:tc>
          <w:tcPr>
            <w:tcW w:w="2551" w:type="dxa"/>
            <w:vAlign w:val="center"/>
          </w:tcPr>
          <w:p>
            <w:pPr>
              <w:pStyle w:val="18"/>
            </w:pPr>
            <w:r>
              <w:t>≥8年</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2835" w:type="dxa"/>
            <w:vAlign w:val="center"/>
          </w:tcPr>
          <w:p>
            <w:pPr>
              <w:pStyle w:val="18"/>
            </w:pPr>
            <w:r>
              <w:t>调查中满意和较满意的人数占调研总人数的比率</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14、大厂县生活垃圾填埋场更换西侧围挡资金绩效目标表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1.通过新制作围挡1290平米、网片645平米，确保生活垃圾填埋场正常运行，防止偷倒垃圾等行为发生。</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新制作围挡面积</w:t>
            </w:r>
          </w:p>
        </w:tc>
        <w:tc>
          <w:tcPr>
            <w:tcW w:w="2835" w:type="dxa"/>
            <w:vAlign w:val="center"/>
          </w:tcPr>
          <w:p>
            <w:pPr>
              <w:pStyle w:val="18"/>
            </w:pPr>
            <w:r>
              <w:t>新制作围挡面积</w:t>
            </w:r>
          </w:p>
        </w:tc>
        <w:tc>
          <w:tcPr>
            <w:tcW w:w="2551" w:type="dxa"/>
            <w:vAlign w:val="center"/>
          </w:tcPr>
          <w:p>
            <w:pPr>
              <w:pStyle w:val="18"/>
            </w:pPr>
            <w:r>
              <w:t>1290㎡</w:t>
            </w:r>
          </w:p>
        </w:tc>
        <w:tc>
          <w:tcPr>
            <w:tcW w:w="2268" w:type="dxa"/>
            <w:vAlign w:val="center"/>
          </w:tcPr>
          <w:p>
            <w:pPr>
              <w:pStyle w:val="18"/>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新制作网片面积</w:t>
            </w:r>
          </w:p>
        </w:tc>
        <w:tc>
          <w:tcPr>
            <w:tcW w:w="2835" w:type="dxa"/>
            <w:vAlign w:val="center"/>
          </w:tcPr>
          <w:p>
            <w:pPr>
              <w:pStyle w:val="18"/>
            </w:pPr>
            <w:r>
              <w:t>新制作网片面积</w:t>
            </w:r>
          </w:p>
        </w:tc>
        <w:tc>
          <w:tcPr>
            <w:tcW w:w="2551" w:type="dxa"/>
            <w:vAlign w:val="center"/>
          </w:tcPr>
          <w:p>
            <w:pPr>
              <w:pStyle w:val="18"/>
            </w:pPr>
            <w:r>
              <w:t>645㎡</w:t>
            </w:r>
          </w:p>
        </w:tc>
        <w:tc>
          <w:tcPr>
            <w:tcW w:w="2268" w:type="dxa"/>
            <w:vAlign w:val="center"/>
          </w:tcPr>
          <w:p>
            <w:pPr>
              <w:pStyle w:val="18"/>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围挡和网片验收合格率</w:t>
            </w:r>
          </w:p>
        </w:tc>
        <w:tc>
          <w:tcPr>
            <w:tcW w:w="2551" w:type="dxa"/>
            <w:vAlign w:val="center"/>
          </w:tcPr>
          <w:p>
            <w:pPr>
              <w:pStyle w:val="18"/>
            </w:pPr>
            <w:r>
              <w:t>100%</w:t>
            </w:r>
          </w:p>
        </w:tc>
        <w:tc>
          <w:tcPr>
            <w:tcW w:w="2268"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资金支付及时性</w:t>
            </w:r>
          </w:p>
        </w:tc>
        <w:tc>
          <w:tcPr>
            <w:tcW w:w="2835" w:type="dxa"/>
            <w:vAlign w:val="center"/>
          </w:tcPr>
          <w:p>
            <w:pPr>
              <w:pStyle w:val="18"/>
            </w:pPr>
            <w:r>
              <w:t>2022年项目资金支付完成时间</w:t>
            </w:r>
          </w:p>
        </w:tc>
        <w:tc>
          <w:tcPr>
            <w:tcW w:w="2551" w:type="dxa"/>
            <w:vAlign w:val="center"/>
          </w:tcPr>
          <w:p>
            <w:pPr>
              <w:pStyle w:val="18"/>
            </w:pPr>
            <w:r>
              <w:t>合同约定时间内支付</w:t>
            </w:r>
          </w:p>
        </w:tc>
        <w:tc>
          <w:tcPr>
            <w:tcW w:w="2268"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项目总成本</w:t>
            </w:r>
          </w:p>
        </w:tc>
        <w:tc>
          <w:tcPr>
            <w:tcW w:w="2835" w:type="dxa"/>
            <w:vAlign w:val="center"/>
          </w:tcPr>
          <w:p>
            <w:pPr>
              <w:pStyle w:val="18"/>
            </w:pPr>
            <w:r>
              <w:t>项目总成本</w:t>
            </w:r>
          </w:p>
        </w:tc>
        <w:tc>
          <w:tcPr>
            <w:tcW w:w="2551" w:type="dxa"/>
            <w:vAlign w:val="center"/>
          </w:tcPr>
          <w:p>
            <w:pPr>
              <w:pStyle w:val="18"/>
            </w:pPr>
            <w:r>
              <w:t>≤15万元</w:t>
            </w:r>
          </w:p>
        </w:tc>
        <w:tc>
          <w:tcPr>
            <w:tcW w:w="22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垃圾填埋场偷倒垃圾发生次数</w:t>
            </w:r>
          </w:p>
        </w:tc>
        <w:tc>
          <w:tcPr>
            <w:tcW w:w="2835" w:type="dxa"/>
            <w:vAlign w:val="center"/>
          </w:tcPr>
          <w:p>
            <w:pPr>
              <w:pStyle w:val="18"/>
            </w:pPr>
            <w:r>
              <w:t>垃圾填埋场偷倒垃圾发生次数</w:t>
            </w:r>
          </w:p>
        </w:tc>
        <w:tc>
          <w:tcPr>
            <w:tcW w:w="2551" w:type="dxa"/>
            <w:vAlign w:val="center"/>
          </w:tcPr>
          <w:p>
            <w:pPr>
              <w:pStyle w:val="18"/>
            </w:pPr>
            <w:r>
              <w:t>≤1次</w:t>
            </w:r>
          </w:p>
        </w:tc>
        <w:tc>
          <w:tcPr>
            <w:tcW w:w="2268"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围挡使用年限</w:t>
            </w:r>
          </w:p>
        </w:tc>
        <w:tc>
          <w:tcPr>
            <w:tcW w:w="2835" w:type="dxa"/>
            <w:vAlign w:val="center"/>
          </w:tcPr>
          <w:p>
            <w:pPr>
              <w:pStyle w:val="18"/>
            </w:pPr>
            <w:r>
              <w:t>围挡的使用年限</w:t>
            </w:r>
          </w:p>
        </w:tc>
        <w:tc>
          <w:tcPr>
            <w:tcW w:w="2551" w:type="dxa"/>
            <w:vAlign w:val="center"/>
          </w:tcPr>
          <w:p>
            <w:pPr>
              <w:pStyle w:val="18"/>
            </w:pPr>
            <w:r>
              <w:t>≥1年</w:t>
            </w:r>
          </w:p>
        </w:tc>
        <w:tc>
          <w:tcPr>
            <w:tcW w:w="2268" w:type="dxa"/>
            <w:vAlign w:val="center"/>
          </w:tcPr>
          <w:p>
            <w:pPr>
              <w:pStyle w:val="18"/>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填埋场工作人员满意度</w:t>
            </w:r>
          </w:p>
        </w:tc>
        <w:tc>
          <w:tcPr>
            <w:tcW w:w="2835" w:type="dxa"/>
            <w:vAlign w:val="center"/>
          </w:tcPr>
          <w:p>
            <w:pPr>
              <w:pStyle w:val="18"/>
            </w:pPr>
            <w:r>
              <w:t>填埋场工作人员对其围挡效果满意度</w:t>
            </w:r>
          </w:p>
        </w:tc>
        <w:tc>
          <w:tcPr>
            <w:tcW w:w="2551" w:type="dxa"/>
            <w:vAlign w:val="center"/>
          </w:tcPr>
          <w:p>
            <w:pPr>
              <w:pStyle w:val="18"/>
            </w:pPr>
            <w:r>
              <w:t>≥95比率</w:t>
            </w:r>
          </w:p>
        </w:tc>
        <w:tc>
          <w:tcPr>
            <w:tcW w:w="2268" w:type="dxa"/>
            <w:vAlign w:val="center"/>
          </w:tcPr>
          <w:p>
            <w:pPr>
              <w:pStyle w:val="18"/>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15、大厂县四辆大气污染防治专用车运营服务采购项目绩效目标表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1.完成大厂县四辆大气污染防治专用车运营服务采购项目，按合同要求进行服务，满足城区精细化管理需求。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运营车辆数量</w:t>
            </w:r>
          </w:p>
        </w:tc>
        <w:tc>
          <w:tcPr>
            <w:tcW w:w="2835" w:type="dxa"/>
            <w:vAlign w:val="center"/>
          </w:tcPr>
          <w:p>
            <w:pPr>
              <w:pStyle w:val="18"/>
            </w:pPr>
            <w:r>
              <w:t>运营车辆数量</w:t>
            </w:r>
          </w:p>
        </w:tc>
        <w:tc>
          <w:tcPr>
            <w:tcW w:w="2551" w:type="dxa"/>
            <w:vAlign w:val="center"/>
          </w:tcPr>
          <w:p>
            <w:pPr>
              <w:pStyle w:val="18"/>
            </w:pPr>
            <w:r>
              <w:t>＝4辆</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作业频次</w:t>
            </w:r>
          </w:p>
        </w:tc>
        <w:tc>
          <w:tcPr>
            <w:tcW w:w="2835" w:type="dxa"/>
            <w:vAlign w:val="center"/>
          </w:tcPr>
          <w:p>
            <w:pPr>
              <w:pStyle w:val="18"/>
            </w:pPr>
            <w:r>
              <w:t>每天作业频次</w:t>
            </w:r>
          </w:p>
        </w:tc>
        <w:tc>
          <w:tcPr>
            <w:tcW w:w="2551" w:type="dxa"/>
            <w:vAlign w:val="center"/>
          </w:tcPr>
          <w:p>
            <w:pPr>
              <w:pStyle w:val="18"/>
            </w:pPr>
            <w:r>
              <w:t>≥12次</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大气污染防治达标</w:t>
            </w:r>
          </w:p>
        </w:tc>
        <w:tc>
          <w:tcPr>
            <w:tcW w:w="2835" w:type="dxa"/>
            <w:vAlign w:val="center"/>
          </w:tcPr>
          <w:p>
            <w:pPr>
              <w:pStyle w:val="18"/>
            </w:pPr>
            <w:r>
              <w:t>大气污染防治指标</w:t>
            </w:r>
          </w:p>
        </w:tc>
        <w:tc>
          <w:tcPr>
            <w:tcW w:w="2551" w:type="dxa"/>
            <w:vAlign w:val="center"/>
          </w:tcPr>
          <w:p>
            <w:pPr>
              <w:pStyle w:val="18"/>
            </w:pPr>
            <w:r>
              <w:t>等级</w:t>
            </w:r>
          </w:p>
        </w:tc>
        <w:tc>
          <w:tcPr>
            <w:tcW w:w="2268" w:type="dxa"/>
            <w:vAlign w:val="center"/>
          </w:tcPr>
          <w:p>
            <w:pPr>
              <w:pStyle w:val="18"/>
            </w:pPr>
            <w:r>
              <w:t>城区空气质量排名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2022年预算款拨付完成时间</w:t>
            </w:r>
          </w:p>
        </w:tc>
        <w:tc>
          <w:tcPr>
            <w:tcW w:w="2835" w:type="dxa"/>
            <w:vAlign w:val="center"/>
          </w:tcPr>
          <w:p>
            <w:pPr>
              <w:pStyle w:val="18"/>
            </w:pPr>
            <w:r>
              <w:t>2022年预算款拨付完成时间</w:t>
            </w:r>
          </w:p>
        </w:tc>
        <w:tc>
          <w:tcPr>
            <w:tcW w:w="2551" w:type="dxa"/>
            <w:vAlign w:val="center"/>
          </w:tcPr>
          <w:p>
            <w:pPr>
              <w:pStyle w:val="18"/>
            </w:pPr>
            <w:r>
              <w:t>≤1年</w:t>
            </w:r>
          </w:p>
        </w:tc>
        <w:tc>
          <w:tcPr>
            <w:tcW w:w="2268" w:type="dxa"/>
            <w:vAlign w:val="center"/>
          </w:tcPr>
          <w:p>
            <w:pPr>
              <w:pStyle w:val="18"/>
            </w:pPr>
            <w:r>
              <w:t>资金支付进度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车辆单位运营成本</w:t>
            </w:r>
          </w:p>
        </w:tc>
        <w:tc>
          <w:tcPr>
            <w:tcW w:w="2835" w:type="dxa"/>
            <w:vAlign w:val="center"/>
          </w:tcPr>
          <w:p>
            <w:pPr>
              <w:pStyle w:val="18"/>
            </w:pPr>
            <w:r>
              <w:t>每年每辆车运营成本</w:t>
            </w:r>
          </w:p>
        </w:tc>
        <w:tc>
          <w:tcPr>
            <w:tcW w:w="2551" w:type="dxa"/>
            <w:vAlign w:val="center"/>
          </w:tcPr>
          <w:p>
            <w:pPr>
              <w:pStyle w:val="18"/>
            </w:pPr>
            <w:r>
              <w:t>≤72.5万元</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保障城区空气质量天数</w:t>
            </w:r>
          </w:p>
        </w:tc>
        <w:tc>
          <w:tcPr>
            <w:tcW w:w="2835" w:type="dxa"/>
            <w:vAlign w:val="center"/>
          </w:tcPr>
          <w:p>
            <w:pPr>
              <w:pStyle w:val="18"/>
            </w:pPr>
            <w:r>
              <w:t>保障城区空气质量天数</w:t>
            </w:r>
          </w:p>
        </w:tc>
        <w:tc>
          <w:tcPr>
            <w:tcW w:w="2551" w:type="dxa"/>
            <w:vAlign w:val="center"/>
          </w:tcPr>
          <w:p>
            <w:pPr>
              <w:pStyle w:val="18"/>
            </w:pPr>
            <w:r>
              <w:t>＝240天</w:t>
            </w:r>
          </w:p>
        </w:tc>
        <w:tc>
          <w:tcPr>
            <w:tcW w:w="2268" w:type="dxa"/>
            <w:vAlign w:val="center"/>
          </w:tcPr>
          <w:p>
            <w:pPr>
              <w:pStyle w:val="18"/>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生态效益指标</w:t>
            </w:r>
          </w:p>
        </w:tc>
        <w:tc>
          <w:tcPr>
            <w:tcW w:w="2835" w:type="dxa"/>
            <w:vAlign w:val="center"/>
          </w:tcPr>
          <w:p>
            <w:pPr>
              <w:pStyle w:val="18"/>
            </w:pPr>
            <w:r>
              <w:t>空气质量合格率</w:t>
            </w:r>
          </w:p>
        </w:tc>
        <w:tc>
          <w:tcPr>
            <w:tcW w:w="2835" w:type="dxa"/>
            <w:vAlign w:val="center"/>
          </w:tcPr>
          <w:p>
            <w:pPr>
              <w:pStyle w:val="18"/>
            </w:pPr>
            <w:r>
              <w:t>空气质量合格率（空气质量合格天数/全年天数)*100%</w:t>
            </w:r>
          </w:p>
        </w:tc>
        <w:tc>
          <w:tcPr>
            <w:tcW w:w="2551" w:type="dxa"/>
            <w:vAlign w:val="center"/>
          </w:tcPr>
          <w:p>
            <w:pPr>
              <w:pStyle w:val="18"/>
            </w:pPr>
            <w:r>
              <w:t>＝100%</w:t>
            </w:r>
          </w:p>
        </w:tc>
        <w:tc>
          <w:tcPr>
            <w:tcW w:w="2268" w:type="dxa"/>
            <w:vAlign w:val="center"/>
          </w:tcPr>
          <w:p>
            <w:pPr>
              <w:pStyle w:val="18"/>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保障运营服务期限</w:t>
            </w:r>
          </w:p>
        </w:tc>
        <w:tc>
          <w:tcPr>
            <w:tcW w:w="2835" w:type="dxa"/>
            <w:vAlign w:val="center"/>
          </w:tcPr>
          <w:p>
            <w:pPr>
              <w:pStyle w:val="18"/>
            </w:pPr>
            <w:r>
              <w:t>保障运营服务期限</w:t>
            </w:r>
          </w:p>
        </w:tc>
        <w:tc>
          <w:tcPr>
            <w:tcW w:w="2551" w:type="dxa"/>
            <w:vAlign w:val="center"/>
          </w:tcPr>
          <w:p>
            <w:pPr>
              <w:pStyle w:val="18"/>
            </w:pPr>
            <w:r>
              <w:t>＝240天</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受益群体满意度</w:t>
            </w:r>
          </w:p>
        </w:tc>
        <w:tc>
          <w:tcPr>
            <w:tcW w:w="2835" w:type="dxa"/>
            <w:vAlign w:val="center"/>
          </w:tcPr>
          <w:p>
            <w:pPr>
              <w:pStyle w:val="18"/>
            </w:pPr>
            <w:r>
              <w:t>受益群体满意度</w:t>
            </w:r>
          </w:p>
        </w:tc>
        <w:tc>
          <w:tcPr>
            <w:tcW w:w="2551" w:type="dxa"/>
            <w:vAlign w:val="center"/>
          </w:tcPr>
          <w:p>
            <w:pPr>
              <w:pStyle w:val="18"/>
            </w:pPr>
            <w:r>
              <w:t>≥95%</w:t>
            </w:r>
          </w:p>
        </w:tc>
        <w:tc>
          <w:tcPr>
            <w:tcW w:w="2268" w:type="dxa"/>
            <w:vAlign w:val="center"/>
          </w:tcPr>
          <w:p>
            <w:pPr>
              <w:pStyle w:val="18"/>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16、大厂县四辆大气污染防治专用车运营服务采购项目绩效目标表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1.完成大厂县四辆大气污染防治专用车运营服务采购项目，按合同要求进行服务，满足城区精细化管理需求。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运营车辆数量</w:t>
            </w:r>
          </w:p>
        </w:tc>
        <w:tc>
          <w:tcPr>
            <w:tcW w:w="2835" w:type="dxa"/>
            <w:vAlign w:val="center"/>
          </w:tcPr>
          <w:p>
            <w:pPr>
              <w:pStyle w:val="18"/>
            </w:pPr>
            <w:r>
              <w:t>运营车辆数量</w:t>
            </w:r>
          </w:p>
        </w:tc>
        <w:tc>
          <w:tcPr>
            <w:tcW w:w="2551" w:type="dxa"/>
            <w:vAlign w:val="center"/>
          </w:tcPr>
          <w:p>
            <w:pPr>
              <w:pStyle w:val="18"/>
            </w:pPr>
            <w:r>
              <w:t>＝4辆</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作业频次</w:t>
            </w:r>
          </w:p>
        </w:tc>
        <w:tc>
          <w:tcPr>
            <w:tcW w:w="2835" w:type="dxa"/>
            <w:vAlign w:val="center"/>
          </w:tcPr>
          <w:p>
            <w:pPr>
              <w:pStyle w:val="18"/>
            </w:pPr>
            <w:r>
              <w:t>每天作业频次</w:t>
            </w:r>
          </w:p>
        </w:tc>
        <w:tc>
          <w:tcPr>
            <w:tcW w:w="2551" w:type="dxa"/>
            <w:vAlign w:val="center"/>
          </w:tcPr>
          <w:p>
            <w:pPr>
              <w:pStyle w:val="18"/>
            </w:pPr>
            <w:r>
              <w:t>≥12次</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大气污染防治达标</w:t>
            </w:r>
          </w:p>
        </w:tc>
        <w:tc>
          <w:tcPr>
            <w:tcW w:w="2835" w:type="dxa"/>
            <w:vAlign w:val="center"/>
          </w:tcPr>
          <w:p>
            <w:pPr>
              <w:pStyle w:val="18"/>
            </w:pPr>
            <w:r>
              <w:t>大气污染防治指标</w:t>
            </w:r>
          </w:p>
        </w:tc>
        <w:tc>
          <w:tcPr>
            <w:tcW w:w="2551" w:type="dxa"/>
            <w:vAlign w:val="center"/>
          </w:tcPr>
          <w:p>
            <w:pPr>
              <w:pStyle w:val="18"/>
            </w:pPr>
            <w:r>
              <w:t>等级</w:t>
            </w:r>
          </w:p>
        </w:tc>
        <w:tc>
          <w:tcPr>
            <w:tcW w:w="2268" w:type="dxa"/>
            <w:vAlign w:val="center"/>
          </w:tcPr>
          <w:p>
            <w:pPr>
              <w:pStyle w:val="18"/>
            </w:pPr>
            <w:r>
              <w:t>城区空气质量排名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2022年预算款拨付完成时间</w:t>
            </w:r>
          </w:p>
        </w:tc>
        <w:tc>
          <w:tcPr>
            <w:tcW w:w="2835" w:type="dxa"/>
            <w:vAlign w:val="center"/>
          </w:tcPr>
          <w:p>
            <w:pPr>
              <w:pStyle w:val="18"/>
            </w:pPr>
            <w:r>
              <w:t>2022年预算款拨付完成时间</w:t>
            </w:r>
          </w:p>
        </w:tc>
        <w:tc>
          <w:tcPr>
            <w:tcW w:w="2551" w:type="dxa"/>
            <w:vAlign w:val="center"/>
          </w:tcPr>
          <w:p>
            <w:pPr>
              <w:pStyle w:val="18"/>
            </w:pPr>
            <w:r>
              <w:t>≤1年</w:t>
            </w:r>
          </w:p>
        </w:tc>
        <w:tc>
          <w:tcPr>
            <w:tcW w:w="2268" w:type="dxa"/>
            <w:vAlign w:val="center"/>
          </w:tcPr>
          <w:p>
            <w:pPr>
              <w:pStyle w:val="18"/>
            </w:pPr>
            <w:r>
              <w:t>资金支付进度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车辆单位运营成本</w:t>
            </w:r>
          </w:p>
        </w:tc>
        <w:tc>
          <w:tcPr>
            <w:tcW w:w="2835" w:type="dxa"/>
            <w:vAlign w:val="center"/>
          </w:tcPr>
          <w:p>
            <w:pPr>
              <w:pStyle w:val="18"/>
            </w:pPr>
            <w:r>
              <w:t>每年每辆车运营成本</w:t>
            </w:r>
          </w:p>
        </w:tc>
        <w:tc>
          <w:tcPr>
            <w:tcW w:w="2551" w:type="dxa"/>
            <w:vAlign w:val="center"/>
          </w:tcPr>
          <w:p>
            <w:pPr>
              <w:pStyle w:val="18"/>
            </w:pPr>
            <w:r>
              <w:t>≤72.5万元</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保障城区空气质量天数</w:t>
            </w:r>
          </w:p>
        </w:tc>
        <w:tc>
          <w:tcPr>
            <w:tcW w:w="2835" w:type="dxa"/>
            <w:vAlign w:val="center"/>
          </w:tcPr>
          <w:p>
            <w:pPr>
              <w:pStyle w:val="18"/>
            </w:pPr>
            <w:r>
              <w:t>保障城区空气质量天数</w:t>
            </w:r>
          </w:p>
        </w:tc>
        <w:tc>
          <w:tcPr>
            <w:tcW w:w="2551" w:type="dxa"/>
            <w:vAlign w:val="center"/>
          </w:tcPr>
          <w:p>
            <w:pPr>
              <w:pStyle w:val="18"/>
            </w:pPr>
            <w:r>
              <w:t>＝240天</w:t>
            </w:r>
          </w:p>
        </w:tc>
        <w:tc>
          <w:tcPr>
            <w:tcW w:w="2268" w:type="dxa"/>
            <w:vAlign w:val="center"/>
          </w:tcPr>
          <w:p>
            <w:pPr>
              <w:pStyle w:val="18"/>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生态效益指标</w:t>
            </w:r>
          </w:p>
        </w:tc>
        <w:tc>
          <w:tcPr>
            <w:tcW w:w="2835" w:type="dxa"/>
            <w:vAlign w:val="center"/>
          </w:tcPr>
          <w:p>
            <w:pPr>
              <w:pStyle w:val="18"/>
            </w:pPr>
            <w:r>
              <w:t>空气质量合格率</w:t>
            </w:r>
          </w:p>
        </w:tc>
        <w:tc>
          <w:tcPr>
            <w:tcW w:w="2835" w:type="dxa"/>
            <w:vAlign w:val="center"/>
          </w:tcPr>
          <w:p>
            <w:pPr>
              <w:pStyle w:val="18"/>
            </w:pPr>
            <w:r>
              <w:t>空气质量合格率（空气质量合格天数/全年天数)*100%</w:t>
            </w:r>
          </w:p>
        </w:tc>
        <w:tc>
          <w:tcPr>
            <w:tcW w:w="2551" w:type="dxa"/>
            <w:vAlign w:val="center"/>
          </w:tcPr>
          <w:p>
            <w:pPr>
              <w:pStyle w:val="18"/>
            </w:pPr>
            <w:r>
              <w:t>＝100%</w:t>
            </w:r>
          </w:p>
        </w:tc>
        <w:tc>
          <w:tcPr>
            <w:tcW w:w="2268" w:type="dxa"/>
            <w:vAlign w:val="center"/>
          </w:tcPr>
          <w:p>
            <w:pPr>
              <w:pStyle w:val="18"/>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保障运营服务期限</w:t>
            </w:r>
          </w:p>
        </w:tc>
        <w:tc>
          <w:tcPr>
            <w:tcW w:w="2835" w:type="dxa"/>
            <w:vAlign w:val="center"/>
          </w:tcPr>
          <w:p>
            <w:pPr>
              <w:pStyle w:val="18"/>
            </w:pPr>
            <w:r>
              <w:t>保障运营服务期限</w:t>
            </w:r>
          </w:p>
        </w:tc>
        <w:tc>
          <w:tcPr>
            <w:tcW w:w="2551" w:type="dxa"/>
            <w:vAlign w:val="center"/>
          </w:tcPr>
          <w:p>
            <w:pPr>
              <w:pStyle w:val="18"/>
            </w:pPr>
            <w:r>
              <w:t>＝240天</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受益群体满意度</w:t>
            </w:r>
          </w:p>
        </w:tc>
        <w:tc>
          <w:tcPr>
            <w:tcW w:w="2835" w:type="dxa"/>
            <w:vAlign w:val="center"/>
          </w:tcPr>
          <w:p>
            <w:pPr>
              <w:pStyle w:val="18"/>
            </w:pPr>
            <w:r>
              <w:t>受益群体满意度</w:t>
            </w:r>
          </w:p>
        </w:tc>
        <w:tc>
          <w:tcPr>
            <w:tcW w:w="2551" w:type="dxa"/>
            <w:vAlign w:val="center"/>
          </w:tcPr>
          <w:p>
            <w:pPr>
              <w:pStyle w:val="18"/>
            </w:pPr>
            <w:r>
              <w:t>≥95%</w:t>
            </w:r>
          </w:p>
        </w:tc>
        <w:tc>
          <w:tcPr>
            <w:tcW w:w="2268" w:type="dxa"/>
            <w:vAlign w:val="center"/>
          </w:tcPr>
          <w:p>
            <w:pPr>
              <w:pStyle w:val="18"/>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17、大厂循环经济产业园绩效目标表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1.通过建设大厂循环经济产业园项目，全面推进垃圾分类工作，实现垃圾资源化处理，有效解决垃圾终端处理等问题。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前期手续办理数量</w:t>
            </w:r>
          </w:p>
        </w:tc>
        <w:tc>
          <w:tcPr>
            <w:tcW w:w="2835" w:type="dxa"/>
            <w:vAlign w:val="center"/>
          </w:tcPr>
          <w:p>
            <w:pPr>
              <w:pStyle w:val="18"/>
            </w:pPr>
            <w:r>
              <w:t>前期手续办理数量</w:t>
            </w:r>
          </w:p>
        </w:tc>
        <w:tc>
          <w:tcPr>
            <w:tcW w:w="2551" w:type="dxa"/>
            <w:vAlign w:val="center"/>
          </w:tcPr>
          <w:p>
            <w:pPr>
              <w:pStyle w:val="18"/>
            </w:pPr>
            <w:r>
              <w:t>＝3个</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手续办理合格率</w:t>
            </w:r>
          </w:p>
        </w:tc>
        <w:tc>
          <w:tcPr>
            <w:tcW w:w="2835" w:type="dxa"/>
            <w:vAlign w:val="center"/>
          </w:tcPr>
          <w:p>
            <w:pPr>
              <w:pStyle w:val="18"/>
            </w:pPr>
            <w:r>
              <w:t>手续办理合格率</w:t>
            </w:r>
          </w:p>
        </w:tc>
        <w:tc>
          <w:tcPr>
            <w:tcW w:w="2551" w:type="dxa"/>
            <w:vAlign w:val="center"/>
          </w:tcPr>
          <w:p>
            <w:pPr>
              <w:pStyle w:val="18"/>
            </w:pPr>
            <w:r>
              <w:t>＝100%</w:t>
            </w:r>
          </w:p>
        </w:tc>
        <w:tc>
          <w:tcPr>
            <w:tcW w:w="2268" w:type="dxa"/>
            <w:vAlign w:val="center"/>
          </w:tcPr>
          <w:p>
            <w:pPr>
              <w:pStyle w:val="18"/>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2022年支付完成时间</w:t>
            </w:r>
          </w:p>
        </w:tc>
        <w:tc>
          <w:tcPr>
            <w:tcW w:w="2835" w:type="dxa"/>
            <w:vAlign w:val="center"/>
          </w:tcPr>
          <w:p>
            <w:pPr>
              <w:pStyle w:val="18"/>
            </w:pPr>
            <w:r>
              <w:t>2022年预算款支付完成时间</w:t>
            </w:r>
          </w:p>
        </w:tc>
        <w:tc>
          <w:tcPr>
            <w:tcW w:w="2551" w:type="dxa"/>
            <w:vAlign w:val="center"/>
          </w:tcPr>
          <w:p>
            <w:pPr>
              <w:pStyle w:val="18"/>
            </w:pPr>
            <w:r>
              <w:t>≤12月</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前期手续办理单位成本</w:t>
            </w:r>
          </w:p>
        </w:tc>
        <w:tc>
          <w:tcPr>
            <w:tcW w:w="2835" w:type="dxa"/>
            <w:vAlign w:val="center"/>
          </w:tcPr>
          <w:p>
            <w:pPr>
              <w:pStyle w:val="18"/>
            </w:pPr>
            <w:r>
              <w:t>2022年该项目前期手续办理平均单位成本</w:t>
            </w:r>
          </w:p>
        </w:tc>
        <w:tc>
          <w:tcPr>
            <w:tcW w:w="2551" w:type="dxa"/>
            <w:vAlign w:val="center"/>
          </w:tcPr>
          <w:p>
            <w:pPr>
              <w:pStyle w:val="18"/>
            </w:pPr>
            <w:r>
              <w:t>≤23.33万元</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垃圾无害化处理率</w:t>
            </w:r>
          </w:p>
        </w:tc>
        <w:tc>
          <w:tcPr>
            <w:tcW w:w="2835" w:type="dxa"/>
            <w:vAlign w:val="center"/>
          </w:tcPr>
          <w:p>
            <w:pPr>
              <w:pStyle w:val="18"/>
            </w:pPr>
            <w:r>
              <w:t>垃圾无害化处理率</w:t>
            </w:r>
          </w:p>
        </w:tc>
        <w:tc>
          <w:tcPr>
            <w:tcW w:w="2551" w:type="dxa"/>
            <w:vAlign w:val="center"/>
          </w:tcPr>
          <w:p>
            <w:pPr>
              <w:pStyle w:val="18"/>
            </w:pPr>
            <w:r>
              <w:t>＝95%</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保障垃圾无害化处理</w:t>
            </w:r>
          </w:p>
        </w:tc>
        <w:tc>
          <w:tcPr>
            <w:tcW w:w="2835" w:type="dxa"/>
            <w:vAlign w:val="center"/>
          </w:tcPr>
          <w:p>
            <w:pPr>
              <w:pStyle w:val="18"/>
            </w:pPr>
            <w:r>
              <w:t>保障垃圾无害化处理时间</w:t>
            </w:r>
          </w:p>
        </w:tc>
        <w:tc>
          <w:tcPr>
            <w:tcW w:w="2551" w:type="dxa"/>
            <w:vAlign w:val="center"/>
          </w:tcPr>
          <w:p>
            <w:pPr>
              <w:pStyle w:val="18"/>
            </w:pPr>
            <w:r>
              <w:t>＞1年</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受益群众满意度</w:t>
            </w:r>
          </w:p>
        </w:tc>
        <w:tc>
          <w:tcPr>
            <w:tcW w:w="2835" w:type="dxa"/>
            <w:vAlign w:val="center"/>
          </w:tcPr>
          <w:p>
            <w:pPr>
              <w:pStyle w:val="18"/>
            </w:pPr>
            <w:r>
              <w:t>受益群众满意度</w:t>
            </w:r>
          </w:p>
        </w:tc>
        <w:tc>
          <w:tcPr>
            <w:tcW w:w="2551" w:type="dxa"/>
            <w:vAlign w:val="center"/>
          </w:tcPr>
          <w:p>
            <w:pPr>
              <w:pStyle w:val="18"/>
            </w:pPr>
            <w:r>
              <w:t>≥95%</w:t>
            </w:r>
          </w:p>
        </w:tc>
        <w:tc>
          <w:tcPr>
            <w:tcW w:w="2268" w:type="dxa"/>
            <w:vAlign w:val="center"/>
          </w:tcPr>
          <w:p>
            <w:pPr>
              <w:pStyle w:val="18"/>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18、东环便民市场围挡建设项目经费绩效目标表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1.对东环便民市场东侧234平米面积进行围挡建设，环境综合整治，提升城区整体环境。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围挡面积</w:t>
            </w:r>
          </w:p>
        </w:tc>
        <w:tc>
          <w:tcPr>
            <w:tcW w:w="2835" w:type="dxa"/>
            <w:vAlign w:val="center"/>
          </w:tcPr>
          <w:p>
            <w:pPr>
              <w:pStyle w:val="18"/>
            </w:pPr>
            <w:r>
              <w:t>围挡界面积达到234平米得满分，不足234平方不得分</w:t>
            </w:r>
          </w:p>
        </w:tc>
        <w:tc>
          <w:tcPr>
            <w:tcW w:w="2551" w:type="dxa"/>
            <w:vAlign w:val="center"/>
          </w:tcPr>
          <w:p>
            <w:pPr>
              <w:pStyle w:val="18"/>
            </w:pPr>
            <w:r>
              <w:t>≥234平米</w:t>
            </w:r>
          </w:p>
        </w:tc>
        <w:tc>
          <w:tcPr>
            <w:tcW w:w="2268" w:type="dxa"/>
            <w:vAlign w:val="center"/>
          </w:tcPr>
          <w:p>
            <w:pPr>
              <w:pStyle w:val="18"/>
            </w:pPr>
            <w:r>
              <w:t>围挡工程量清单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合格率100%得满分，否则不得分</w:t>
            </w:r>
          </w:p>
        </w:tc>
        <w:tc>
          <w:tcPr>
            <w:tcW w:w="2551" w:type="dxa"/>
            <w:vAlign w:val="center"/>
          </w:tcPr>
          <w:p>
            <w:pPr>
              <w:pStyle w:val="18"/>
            </w:pPr>
            <w:r>
              <w:t>100%</w:t>
            </w:r>
          </w:p>
        </w:tc>
        <w:tc>
          <w:tcPr>
            <w:tcW w:w="2268" w:type="dxa"/>
            <w:vAlign w:val="center"/>
          </w:tcPr>
          <w:p>
            <w:pPr>
              <w:pStyle w:val="18"/>
            </w:pPr>
            <w: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资金在规定时间内下达率</w:t>
            </w:r>
          </w:p>
        </w:tc>
        <w:tc>
          <w:tcPr>
            <w:tcW w:w="2835" w:type="dxa"/>
            <w:vAlign w:val="center"/>
          </w:tcPr>
          <w:p>
            <w:pPr>
              <w:pStyle w:val="18"/>
            </w:pPr>
            <w:r>
              <w:t>资金在规定时间内下达率</w:t>
            </w:r>
          </w:p>
        </w:tc>
        <w:tc>
          <w:tcPr>
            <w:tcW w:w="2551" w:type="dxa"/>
            <w:vAlign w:val="center"/>
          </w:tcPr>
          <w:p>
            <w:pPr>
              <w:pStyle w:val="18"/>
            </w:pPr>
            <w:r>
              <w:t>&lt;3月底</w:t>
            </w:r>
          </w:p>
        </w:tc>
        <w:tc>
          <w:tcPr>
            <w:tcW w:w="2268" w:type="dxa"/>
            <w:vAlign w:val="center"/>
          </w:tcPr>
          <w:p>
            <w:pPr>
              <w:pStyle w:val="18"/>
            </w:pPr>
            <w:r>
              <w:t>资金拨付进度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单位围挡成本</w:t>
            </w:r>
          </w:p>
        </w:tc>
        <w:tc>
          <w:tcPr>
            <w:tcW w:w="2835" w:type="dxa"/>
            <w:vAlign w:val="center"/>
          </w:tcPr>
          <w:p>
            <w:pPr>
              <w:pStyle w:val="18"/>
            </w:pPr>
            <w:r>
              <w:t>围挡面积不超过300元/平方得满分，超过300元不得分</w:t>
            </w:r>
          </w:p>
        </w:tc>
        <w:tc>
          <w:tcPr>
            <w:tcW w:w="2551" w:type="dxa"/>
            <w:vAlign w:val="center"/>
          </w:tcPr>
          <w:p>
            <w:pPr>
              <w:pStyle w:val="18"/>
            </w:pPr>
            <w:r>
              <w:t>≤300元</w:t>
            </w:r>
          </w:p>
        </w:tc>
        <w:tc>
          <w:tcPr>
            <w:tcW w:w="2268"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围挡完成率</w:t>
            </w:r>
          </w:p>
        </w:tc>
        <w:tc>
          <w:tcPr>
            <w:tcW w:w="2835" w:type="dxa"/>
            <w:vAlign w:val="center"/>
          </w:tcPr>
          <w:p>
            <w:pPr>
              <w:pStyle w:val="18"/>
            </w:pPr>
            <w:r>
              <w:t>完成率100%得满分，每降低5%扣权重分10%</w:t>
            </w:r>
          </w:p>
        </w:tc>
        <w:tc>
          <w:tcPr>
            <w:tcW w:w="2551" w:type="dxa"/>
            <w:vAlign w:val="center"/>
          </w:tcPr>
          <w:p>
            <w:pPr>
              <w:pStyle w:val="18"/>
            </w:pPr>
            <w:r>
              <w:t>100%</w:t>
            </w:r>
          </w:p>
        </w:tc>
        <w:tc>
          <w:tcPr>
            <w:tcW w:w="2268"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围挡使用年限</w:t>
            </w:r>
          </w:p>
        </w:tc>
        <w:tc>
          <w:tcPr>
            <w:tcW w:w="2835" w:type="dxa"/>
            <w:vAlign w:val="center"/>
          </w:tcPr>
          <w:p>
            <w:pPr>
              <w:pStyle w:val="18"/>
            </w:pPr>
            <w:r>
              <w:t>使用1年以上得满分，不足1年不得分</w:t>
            </w:r>
          </w:p>
        </w:tc>
        <w:tc>
          <w:tcPr>
            <w:tcW w:w="2551" w:type="dxa"/>
            <w:vAlign w:val="center"/>
          </w:tcPr>
          <w:p>
            <w:pPr>
              <w:pStyle w:val="18"/>
            </w:pPr>
            <w:r>
              <w:t>≥1年</w:t>
            </w:r>
          </w:p>
        </w:tc>
        <w:tc>
          <w:tcPr>
            <w:tcW w:w="2268" w:type="dxa"/>
            <w:vAlign w:val="center"/>
          </w:tcPr>
          <w:p>
            <w:pPr>
              <w:pStyle w:val="18"/>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居民满意度</w:t>
            </w:r>
          </w:p>
        </w:tc>
        <w:tc>
          <w:tcPr>
            <w:tcW w:w="2835" w:type="dxa"/>
            <w:vAlign w:val="center"/>
          </w:tcPr>
          <w:p>
            <w:pPr>
              <w:pStyle w:val="18"/>
            </w:pPr>
            <w:r>
              <w:t>居民对环境整体情况得满意率</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19、对城中五村、农贸市场等清扫保洁项目资金绩效目标表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1.通过项目的开展，将城中五村、农贸市场、农业园区、四镇清扫、保洁作为一个项目整体打包采购，以达到城乡环卫一体化全覆盖的要求。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清扫面积</w:t>
            </w:r>
          </w:p>
        </w:tc>
        <w:tc>
          <w:tcPr>
            <w:tcW w:w="2835" w:type="dxa"/>
            <w:vAlign w:val="center"/>
          </w:tcPr>
          <w:p>
            <w:pPr>
              <w:pStyle w:val="18"/>
            </w:pPr>
            <w:r>
              <w:t>大厂县城中五村、农贸市场、农业园区、四镇清扫、清洁面积</w:t>
            </w:r>
          </w:p>
        </w:tc>
        <w:tc>
          <w:tcPr>
            <w:tcW w:w="2551" w:type="dxa"/>
            <w:vAlign w:val="center"/>
          </w:tcPr>
          <w:p>
            <w:pPr>
              <w:pStyle w:val="18"/>
            </w:pPr>
            <w:r>
              <w:t>808172平米</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垃圾清运率</w:t>
            </w:r>
          </w:p>
        </w:tc>
        <w:tc>
          <w:tcPr>
            <w:tcW w:w="2835" w:type="dxa"/>
            <w:vAlign w:val="center"/>
          </w:tcPr>
          <w:p>
            <w:pPr>
              <w:pStyle w:val="18"/>
            </w:pPr>
            <w:r>
              <w:t>日清运垃圾量与日产生垃圾量的比例</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清扫及时率</w:t>
            </w:r>
          </w:p>
        </w:tc>
        <w:tc>
          <w:tcPr>
            <w:tcW w:w="2835" w:type="dxa"/>
            <w:vAlign w:val="center"/>
          </w:tcPr>
          <w:p>
            <w:pPr>
              <w:pStyle w:val="18"/>
            </w:pPr>
            <w:r>
              <w:t>反映清扫、保洁的及时情况</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成本偏离率</w:t>
            </w:r>
          </w:p>
        </w:tc>
        <w:tc>
          <w:tcPr>
            <w:tcW w:w="2835" w:type="dxa"/>
            <w:vAlign w:val="center"/>
          </w:tcPr>
          <w:p>
            <w:pPr>
              <w:pStyle w:val="18"/>
            </w:pPr>
            <w:r>
              <w:t>项目成本偏离预算资金比率的绝对值</w:t>
            </w:r>
          </w:p>
        </w:tc>
        <w:tc>
          <w:tcPr>
            <w:tcW w:w="2551" w:type="dxa"/>
            <w:vAlign w:val="center"/>
          </w:tcPr>
          <w:p>
            <w:pPr>
              <w:pStyle w:val="18"/>
            </w:pPr>
            <w:r>
              <w:t>≤10%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垃圾遗撒率</w:t>
            </w:r>
          </w:p>
        </w:tc>
        <w:tc>
          <w:tcPr>
            <w:tcW w:w="2835" w:type="dxa"/>
            <w:vAlign w:val="center"/>
          </w:tcPr>
          <w:p>
            <w:pPr>
              <w:pStyle w:val="18"/>
            </w:pPr>
            <w:r>
              <w:t>垃圾运送遗撒率</w:t>
            </w:r>
          </w:p>
        </w:tc>
        <w:tc>
          <w:tcPr>
            <w:tcW w:w="2551" w:type="dxa"/>
            <w:vAlign w:val="center"/>
          </w:tcPr>
          <w:p>
            <w:pPr>
              <w:pStyle w:val="18"/>
            </w:pPr>
            <w:r>
              <w:t>≤1%</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2022年该项目运行持续时间</w:t>
            </w:r>
          </w:p>
        </w:tc>
        <w:tc>
          <w:tcPr>
            <w:tcW w:w="2835" w:type="dxa"/>
            <w:vAlign w:val="center"/>
          </w:tcPr>
          <w:p>
            <w:pPr>
              <w:pStyle w:val="18"/>
            </w:pPr>
            <w:r>
              <w:t>2022年该项目运行持续年限</w:t>
            </w:r>
          </w:p>
        </w:tc>
        <w:tc>
          <w:tcPr>
            <w:tcW w:w="2551" w:type="dxa"/>
            <w:vAlign w:val="center"/>
          </w:tcPr>
          <w:p>
            <w:pPr>
              <w:pStyle w:val="18"/>
            </w:pPr>
            <w:r>
              <w:t>≥1年</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城区群众满意度</w:t>
            </w:r>
          </w:p>
        </w:tc>
        <w:tc>
          <w:tcPr>
            <w:tcW w:w="2835" w:type="dxa"/>
            <w:vAlign w:val="center"/>
          </w:tcPr>
          <w:p>
            <w:pPr>
              <w:pStyle w:val="18"/>
            </w:pPr>
            <w:r>
              <w:t>城区群众对街道卫生管理情况的满意程度</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20、工程监理、设计费绩效目标表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1.通过对项目的施工进行监督、设计，从而保证项目有序进行，保质保量。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监理项目数量</w:t>
            </w:r>
          </w:p>
        </w:tc>
        <w:tc>
          <w:tcPr>
            <w:tcW w:w="2835" w:type="dxa"/>
            <w:vAlign w:val="center"/>
          </w:tcPr>
          <w:p>
            <w:pPr>
              <w:pStyle w:val="18"/>
            </w:pPr>
            <w:r>
              <w:t>2022年未付款监理项目的数量</w:t>
            </w:r>
          </w:p>
        </w:tc>
        <w:tc>
          <w:tcPr>
            <w:tcW w:w="2551" w:type="dxa"/>
            <w:vAlign w:val="center"/>
          </w:tcPr>
          <w:p>
            <w:pPr>
              <w:pStyle w:val="18"/>
            </w:pPr>
            <w:r>
              <w:t>＝5个</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设计项目数量</w:t>
            </w:r>
          </w:p>
        </w:tc>
        <w:tc>
          <w:tcPr>
            <w:tcW w:w="2835" w:type="dxa"/>
            <w:vAlign w:val="center"/>
          </w:tcPr>
          <w:p>
            <w:pPr>
              <w:pStyle w:val="18"/>
            </w:pPr>
            <w:r>
              <w:t>设计项目的数量</w:t>
            </w:r>
          </w:p>
        </w:tc>
        <w:tc>
          <w:tcPr>
            <w:tcW w:w="2551" w:type="dxa"/>
            <w:vAlign w:val="center"/>
          </w:tcPr>
          <w:p>
            <w:pPr>
              <w:pStyle w:val="18"/>
            </w:pPr>
            <w:r>
              <w:t>＝4个</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成果质检合格率</w:t>
            </w:r>
          </w:p>
        </w:tc>
        <w:tc>
          <w:tcPr>
            <w:tcW w:w="2835" w:type="dxa"/>
            <w:vAlign w:val="center"/>
          </w:tcPr>
          <w:p>
            <w:pPr>
              <w:pStyle w:val="18"/>
            </w:pPr>
            <w:r>
              <w:t>成果质检合格率</w:t>
            </w:r>
          </w:p>
        </w:tc>
        <w:tc>
          <w:tcPr>
            <w:tcW w:w="2551" w:type="dxa"/>
            <w:vAlign w:val="center"/>
          </w:tcPr>
          <w:p>
            <w:pPr>
              <w:pStyle w:val="18"/>
            </w:pPr>
            <w:r>
              <w:t>≥95%</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拨款完成及时率</w:t>
            </w:r>
          </w:p>
        </w:tc>
        <w:tc>
          <w:tcPr>
            <w:tcW w:w="2835" w:type="dxa"/>
            <w:vAlign w:val="center"/>
          </w:tcPr>
          <w:p>
            <w:pPr>
              <w:pStyle w:val="18"/>
            </w:pPr>
            <w:r>
              <w:t>在规定的时间节点内完成拨款</w:t>
            </w:r>
          </w:p>
        </w:tc>
        <w:tc>
          <w:tcPr>
            <w:tcW w:w="2551" w:type="dxa"/>
            <w:vAlign w:val="center"/>
          </w:tcPr>
          <w:p>
            <w:pPr>
              <w:pStyle w:val="18"/>
            </w:pPr>
            <w:r>
              <w:t>100%</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成本偏离率</w:t>
            </w:r>
          </w:p>
        </w:tc>
        <w:tc>
          <w:tcPr>
            <w:tcW w:w="2835" w:type="dxa"/>
            <w:vAlign w:val="center"/>
          </w:tcPr>
          <w:p>
            <w:pPr>
              <w:pStyle w:val="18"/>
            </w:pPr>
            <w:r>
              <w:t>项目成本偏离预算资金比率的绝对值</w:t>
            </w:r>
          </w:p>
        </w:tc>
        <w:tc>
          <w:tcPr>
            <w:tcW w:w="2551" w:type="dxa"/>
            <w:vAlign w:val="center"/>
          </w:tcPr>
          <w:p>
            <w:pPr>
              <w:pStyle w:val="18"/>
            </w:pPr>
            <w:r>
              <w:t>≤10%</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项目质量合格率</w:t>
            </w:r>
          </w:p>
        </w:tc>
        <w:tc>
          <w:tcPr>
            <w:tcW w:w="2835" w:type="dxa"/>
            <w:vAlign w:val="center"/>
          </w:tcPr>
          <w:p>
            <w:pPr>
              <w:pStyle w:val="18"/>
            </w:pPr>
            <w:r>
              <w:t>被监理、设计项目质量合格率</w:t>
            </w:r>
          </w:p>
        </w:tc>
        <w:tc>
          <w:tcPr>
            <w:tcW w:w="2551" w:type="dxa"/>
            <w:vAlign w:val="center"/>
          </w:tcPr>
          <w:p>
            <w:pPr>
              <w:pStyle w:val="18"/>
            </w:pPr>
            <w:r>
              <w:t>≥95%</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保证项目有序进行</w:t>
            </w:r>
          </w:p>
        </w:tc>
        <w:tc>
          <w:tcPr>
            <w:tcW w:w="2835" w:type="dxa"/>
            <w:vAlign w:val="center"/>
          </w:tcPr>
          <w:p>
            <w:pPr>
              <w:pStyle w:val="18"/>
            </w:pPr>
            <w:r>
              <w:t>保障项目有序运行年限</w:t>
            </w:r>
          </w:p>
        </w:tc>
        <w:tc>
          <w:tcPr>
            <w:tcW w:w="2551" w:type="dxa"/>
            <w:vAlign w:val="center"/>
          </w:tcPr>
          <w:p>
            <w:pPr>
              <w:pStyle w:val="18"/>
            </w:pPr>
            <w:r>
              <w:t>≥1年</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受益对象满意度</w:t>
            </w:r>
          </w:p>
        </w:tc>
        <w:tc>
          <w:tcPr>
            <w:tcW w:w="2835" w:type="dxa"/>
            <w:vAlign w:val="center"/>
          </w:tcPr>
          <w:p>
            <w:pPr>
              <w:pStyle w:val="18"/>
            </w:pPr>
            <w:r>
              <w:t>调查中满意和较满意的人数占调研总人数的比率</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21、公共停车场建设及机动车停车位施划费用绩效目标表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 用于公共停车场建设（设计、造价、监理）及472个机动车车位施划，解决群众停车难问题。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停车位施划数量472个</w:t>
            </w:r>
          </w:p>
        </w:tc>
        <w:tc>
          <w:tcPr>
            <w:tcW w:w="2835" w:type="dxa"/>
            <w:vAlign w:val="center"/>
          </w:tcPr>
          <w:p>
            <w:pPr>
              <w:pStyle w:val="18"/>
            </w:pPr>
            <w:r>
              <w:t>停车位施划数量472个</w:t>
            </w:r>
          </w:p>
        </w:tc>
        <w:tc>
          <w:tcPr>
            <w:tcW w:w="2551" w:type="dxa"/>
            <w:vAlign w:val="center"/>
          </w:tcPr>
          <w:p>
            <w:pPr>
              <w:pStyle w:val="18"/>
            </w:pPr>
            <w:r>
              <w:t>472 个</w:t>
            </w:r>
          </w:p>
        </w:tc>
        <w:tc>
          <w:tcPr>
            <w:tcW w:w="2268" w:type="dxa"/>
            <w:vAlign w:val="center"/>
          </w:tcPr>
          <w:p>
            <w:pPr>
              <w:pStyle w:val="18"/>
            </w:pPr>
            <w:r>
              <w:t xml:space="preserve"> 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验收达到合格率</w:t>
            </w:r>
          </w:p>
        </w:tc>
        <w:tc>
          <w:tcPr>
            <w:tcW w:w="2551" w:type="dxa"/>
            <w:vAlign w:val="center"/>
          </w:tcPr>
          <w:p>
            <w:pPr>
              <w:pStyle w:val="18"/>
            </w:pPr>
            <w:r>
              <w:t>100 ％</w:t>
            </w:r>
          </w:p>
        </w:tc>
        <w:tc>
          <w:tcPr>
            <w:tcW w:w="2268" w:type="dxa"/>
            <w:vAlign w:val="center"/>
          </w:tcPr>
          <w:p>
            <w:pPr>
              <w:pStyle w:val="18"/>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资金支付及时性</w:t>
            </w:r>
          </w:p>
        </w:tc>
        <w:tc>
          <w:tcPr>
            <w:tcW w:w="2835" w:type="dxa"/>
            <w:vAlign w:val="center"/>
          </w:tcPr>
          <w:p>
            <w:pPr>
              <w:pStyle w:val="18"/>
            </w:pPr>
            <w:r>
              <w:t>按合同约定及时支付</w:t>
            </w:r>
          </w:p>
        </w:tc>
        <w:tc>
          <w:tcPr>
            <w:tcW w:w="2551" w:type="dxa"/>
            <w:vAlign w:val="center"/>
          </w:tcPr>
          <w:p>
            <w:pPr>
              <w:pStyle w:val="18"/>
            </w:pPr>
            <w:r>
              <w:t>按合同约定</w:t>
            </w:r>
          </w:p>
        </w:tc>
        <w:tc>
          <w:tcPr>
            <w:tcW w:w="2268" w:type="dxa"/>
            <w:vAlign w:val="center"/>
          </w:tcPr>
          <w:p>
            <w:pPr>
              <w:pStyle w:val="18"/>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停车位施划单位成本</w:t>
            </w:r>
          </w:p>
        </w:tc>
        <w:tc>
          <w:tcPr>
            <w:tcW w:w="2835" w:type="dxa"/>
            <w:vAlign w:val="center"/>
          </w:tcPr>
          <w:p>
            <w:pPr>
              <w:pStyle w:val="18"/>
            </w:pPr>
            <w:r>
              <w:t>停车位施划单位成本</w:t>
            </w:r>
          </w:p>
        </w:tc>
        <w:tc>
          <w:tcPr>
            <w:tcW w:w="2551" w:type="dxa"/>
            <w:vAlign w:val="center"/>
          </w:tcPr>
          <w:p>
            <w:pPr>
              <w:pStyle w:val="18"/>
            </w:pPr>
            <w:r>
              <w:t>≤110个</w:t>
            </w:r>
          </w:p>
        </w:tc>
        <w:tc>
          <w:tcPr>
            <w:tcW w:w="2268" w:type="dxa"/>
            <w:vAlign w:val="center"/>
          </w:tcPr>
          <w:p>
            <w:pPr>
              <w:pStyle w:val="18"/>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停车位可使用率</w:t>
            </w:r>
          </w:p>
        </w:tc>
        <w:tc>
          <w:tcPr>
            <w:tcW w:w="2835" w:type="dxa"/>
            <w:vAlign w:val="center"/>
          </w:tcPr>
          <w:p>
            <w:pPr>
              <w:pStyle w:val="18"/>
            </w:pPr>
            <w:r>
              <w:t>停车位可使用率</w:t>
            </w:r>
          </w:p>
        </w:tc>
        <w:tc>
          <w:tcPr>
            <w:tcW w:w="2551" w:type="dxa"/>
            <w:vAlign w:val="center"/>
          </w:tcPr>
          <w:p>
            <w:pPr>
              <w:pStyle w:val="18"/>
            </w:pPr>
            <w:r>
              <w:t>100％</w:t>
            </w:r>
          </w:p>
        </w:tc>
        <w:tc>
          <w:tcPr>
            <w:tcW w:w="2268" w:type="dxa"/>
            <w:vAlign w:val="center"/>
          </w:tcPr>
          <w:p>
            <w:pPr>
              <w:pStyle w:val="18"/>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停车位质保期</w:t>
            </w:r>
          </w:p>
        </w:tc>
        <w:tc>
          <w:tcPr>
            <w:tcW w:w="2835" w:type="dxa"/>
            <w:vAlign w:val="center"/>
          </w:tcPr>
          <w:p>
            <w:pPr>
              <w:pStyle w:val="18"/>
            </w:pPr>
            <w:r>
              <w:t>停车位质保1年</w:t>
            </w:r>
          </w:p>
        </w:tc>
        <w:tc>
          <w:tcPr>
            <w:tcW w:w="2551" w:type="dxa"/>
            <w:vAlign w:val="center"/>
          </w:tcPr>
          <w:p>
            <w:pPr>
              <w:pStyle w:val="18"/>
            </w:pPr>
            <w:r>
              <w:t>2 年</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 xml:space="preserve"> 居民满意度</w:t>
            </w:r>
          </w:p>
        </w:tc>
        <w:tc>
          <w:tcPr>
            <w:tcW w:w="2835" w:type="dxa"/>
            <w:vAlign w:val="center"/>
          </w:tcPr>
          <w:p>
            <w:pPr>
              <w:pStyle w:val="18"/>
            </w:pPr>
            <w:r>
              <w:t xml:space="preserve"> </w:t>
            </w:r>
          </w:p>
        </w:tc>
        <w:tc>
          <w:tcPr>
            <w:tcW w:w="2551" w:type="dxa"/>
            <w:vAlign w:val="center"/>
          </w:tcPr>
          <w:p>
            <w:pPr>
              <w:pStyle w:val="18"/>
            </w:pPr>
            <w:r>
              <w:t>≥95 ％</w:t>
            </w:r>
          </w:p>
        </w:tc>
        <w:tc>
          <w:tcPr>
            <w:tcW w:w="2268" w:type="dxa"/>
            <w:vAlign w:val="center"/>
          </w:tcPr>
          <w:p>
            <w:pPr>
              <w:pStyle w:val="18"/>
            </w:pPr>
            <w:r>
              <w:t xml:space="preserve"> 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22、购置扫雪设备经费绩效目标表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1.通过购买扫雪设备，使积雪迅速铲除和方便运输，解决市民出行问题。使2022年全年确保我县创建国家卫生县城城区环境卫生达到验收标准。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设备到位率</w:t>
            </w:r>
          </w:p>
        </w:tc>
        <w:tc>
          <w:tcPr>
            <w:tcW w:w="2835" w:type="dxa"/>
            <w:vAlign w:val="center"/>
          </w:tcPr>
          <w:p>
            <w:pPr>
              <w:pStyle w:val="18"/>
            </w:pPr>
            <w:r>
              <w:t>实际到位的设备数量与购置设备数量的比例</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反映购买扫雪设备的质量情况</w:t>
            </w:r>
          </w:p>
        </w:tc>
        <w:tc>
          <w:tcPr>
            <w:tcW w:w="2551" w:type="dxa"/>
            <w:vAlign w:val="center"/>
          </w:tcPr>
          <w:p>
            <w:pPr>
              <w:pStyle w:val="18"/>
            </w:pPr>
            <w:r>
              <w:t>≥95%</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清运及时率</w:t>
            </w:r>
          </w:p>
        </w:tc>
        <w:tc>
          <w:tcPr>
            <w:tcW w:w="2835" w:type="dxa"/>
            <w:vAlign w:val="center"/>
          </w:tcPr>
          <w:p>
            <w:pPr>
              <w:pStyle w:val="18"/>
            </w:pPr>
            <w:r>
              <w:t>反映项目的实施使城区清扫清运积雪是否及时</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成本偏离率</w:t>
            </w:r>
          </w:p>
        </w:tc>
        <w:tc>
          <w:tcPr>
            <w:tcW w:w="2835" w:type="dxa"/>
            <w:vAlign w:val="center"/>
          </w:tcPr>
          <w:p>
            <w:pPr>
              <w:pStyle w:val="18"/>
            </w:pPr>
            <w:r>
              <w:t>项目成本偏离预算资金比率的绝对值</w:t>
            </w:r>
          </w:p>
        </w:tc>
        <w:tc>
          <w:tcPr>
            <w:tcW w:w="2551" w:type="dxa"/>
            <w:vAlign w:val="center"/>
          </w:tcPr>
          <w:p>
            <w:pPr>
              <w:pStyle w:val="18"/>
            </w:pPr>
            <w:r>
              <w:t>≤10%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城区清扫、清运达标率</w:t>
            </w:r>
          </w:p>
        </w:tc>
        <w:tc>
          <w:tcPr>
            <w:tcW w:w="2835" w:type="dxa"/>
            <w:vAlign w:val="center"/>
          </w:tcPr>
          <w:p>
            <w:pPr>
              <w:pStyle w:val="18"/>
            </w:pPr>
            <w:r>
              <w:t>项目实施使清扫清运达到的标准等级</w:t>
            </w:r>
          </w:p>
        </w:tc>
        <w:tc>
          <w:tcPr>
            <w:tcW w:w="2551" w:type="dxa"/>
            <w:vAlign w:val="center"/>
          </w:tcPr>
          <w:p>
            <w:pPr>
              <w:pStyle w:val="18"/>
            </w:pPr>
            <w:r>
              <w:t>≥95%</w:t>
            </w:r>
          </w:p>
        </w:tc>
        <w:tc>
          <w:tcPr>
            <w:tcW w:w="2268" w:type="dxa"/>
            <w:vAlign w:val="center"/>
          </w:tcPr>
          <w:p>
            <w:pPr>
              <w:pStyle w:val="18"/>
            </w:pPr>
            <w:r>
              <w:t>全国文明卫生县城的标准等级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设备使用率</w:t>
            </w:r>
          </w:p>
        </w:tc>
        <w:tc>
          <w:tcPr>
            <w:tcW w:w="2835" w:type="dxa"/>
            <w:vAlign w:val="center"/>
          </w:tcPr>
          <w:p>
            <w:pPr>
              <w:pStyle w:val="18"/>
            </w:pPr>
            <w:r>
              <w:t>设备使用率=设备实际使用时间/设备计划使用时间*100%</w:t>
            </w:r>
          </w:p>
        </w:tc>
        <w:tc>
          <w:tcPr>
            <w:tcW w:w="2551" w:type="dxa"/>
            <w:vAlign w:val="center"/>
          </w:tcPr>
          <w:p>
            <w:pPr>
              <w:pStyle w:val="18"/>
            </w:pPr>
            <w:r>
              <w:t>≥95%</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城区群众满意度</w:t>
            </w:r>
          </w:p>
        </w:tc>
        <w:tc>
          <w:tcPr>
            <w:tcW w:w="2835" w:type="dxa"/>
            <w:vAlign w:val="center"/>
          </w:tcPr>
          <w:p>
            <w:pPr>
              <w:pStyle w:val="18"/>
            </w:pPr>
            <w:r>
              <w:t>城区群众对街道卫生管理情况的满意程度</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23、建筑垃圾处理场土地租赁费绩效目标表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1.通过租赁大马庄窑坑土地103.1618亩及坑北侧土地41.2446亩，作为建筑垃圾处理场所，用于消纳全县建筑垃圾，有效防止建筑垃圾乱堆乱倒现象的发生，从而保护大厂县环境卫生。</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租赁大马庄村南窑坑面积</w:t>
            </w:r>
          </w:p>
        </w:tc>
        <w:tc>
          <w:tcPr>
            <w:tcW w:w="2835" w:type="dxa"/>
            <w:vAlign w:val="center"/>
          </w:tcPr>
          <w:p>
            <w:pPr>
              <w:pStyle w:val="18"/>
            </w:pPr>
            <w:r>
              <w:t>租赁大马庄村南窑坑面积</w:t>
            </w:r>
          </w:p>
        </w:tc>
        <w:tc>
          <w:tcPr>
            <w:tcW w:w="2551" w:type="dxa"/>
            <w:vAlign w:val="center"/>
          </w:tcPr>
          <w:p>
            <w:pPr>
              <w:pStyle w:val="18"/>
            </w:pPr>
            <w:r>
              <w:t>103.16亩</w:t>
            </w:r>
          </w:p>
        </w:tc>
        <w:tc>
          <w:tcPr>
            <w:tcW w:w="2268" w:type="dxa"/>
            <w:vAlign w:val="center"/>
          </w:tcPr>
          <w:p>
            <w:pPr>
              <w:pStyle w:val="18"/>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租赁大马庄坑北侧窑坑面积</w:t>
            </w:r>
          </w:p>
        </w:tc>
        <w:tc>
          <w:tcPr>
            <w:tcW w:w="2835" w:type="dxa"/>
            <w:vAlign w:val="center"/>
          </w:tcPr>
          <w:p>
            <w:pPr>
              <w:pStyle w:val="18"/>
            </w:pPr>
            <w:r>
              <w:t>租赁大马庄坑北侧窑坑面积</w:t>
            </w:r>
          </w:p>
        </w:tc>
        <w:tc>
          <w:tcPr>
            <w:tcW w:w="2551" w:type="dxa"/>
            <w:vAlign w:val="center"/>
          </w:tcPr>
          <w:p>
            <w:pPr>
              <w:pStyle w:val="18"/>
            </w:pPr>
            <w:r>
              <w:t>41.24亩</w:t>
            </w:r>
          </w:p>
        </w:tc>
        <w:tc>
          <w:tcPr>
            <w:tcW w:w="2268" w:type="dxa"/>
            <w:vAlign w:val="center"/>
          </w:tcPr>
          <w:p>
            <w:pPr>
              <w:pStyle w:val="18"/>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租赁土地合格率</w:t>
            </w:r>
          </w:p>
        </w:tc>
        <w:tc>
          <w:tcPr>
            <w:tcW w:w="2835" w:type="dxa"/>
            <w:vAlign w:val="center"/>
          </w:tcPr>
          <w:p>
            <w:pPr>
              <w:pStyle w:val="18"/>
            </w:pPr>
            <w:r>
              <w:t>租赁的土地达到要求的标准</w:t>
            </w:r>
          </w:p>
        </w:tc>
        <w:tc>
          <w:tcPr>
            <w:tcW w:w="2551" w:type="dxa"/>
            <w:vAlign w:val="center"/>
          </w:tcPr>
          <w:p>
            <w:pPr>
              <w:pStyle w:val="18"/>
            </w:pPr>
            <w:r>
              <w:t>100%</w:t>
            </w:r>
          </w:p>
        </w:tc>
        <w:tc>
          <w:tcPr>
            <w:tcW w:w="2268" w:type="dxa"/>
            <w:vAlign w:val="center"/>
          </w:tcPr>
          <w:p>
            <w:pPr>
              <w:pStyle w:val="18"/>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租金拨付及时性</w:t>
            </w:r>
          </w:p>
        </w:tc>
        <w:tc>
          <w:tcPr>
            <w:tcW w:w="2835" w:type="dxa"/>
            <w:vAlign w:val="center"/>
          </w:tcPr>
          <w:p>
            <w:pPr>
              <w:pStyle w:val="18"/>
            </w:pPr>
            <w:r>
              <w:t>按照租赁协议规定的租金支付时间拨付</w:t>
            </w:r>
          </w:p>
        </w:tc>
        <w:tc>
          <w:tcPr>
            <w:tcW w:w="2551" w:type="dxa"/>
            <w:vAlign w:val="center"/>
          </w:tcPr>
          <w:p>
            <w:pPr>
              <w:pStyle w:val="18"/>
            </w:pPr>
            <w:r>
              <w:t>协议约定时间</w:t>
            </w:r>
          </w:p>
        </w:tc>
        <w:tc>
          <w:tcPr>
            <w:tcW w:w="2268" w:type="dxa"/>
            <w:vAlign w:val="center"/>
          </w:tcPr>
          <w:p>
            <w:pPr>
              <w:pStyle w:val="18"/>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每亩土地平均成本</w:t>
            </w:r>
          </w:p>
        </w:tc>
        <w:tc>
          <w:tcPr>
            <w:tcW w:w="2835" w:type="dxa"/>
            <w:vAlign w:val="center"/>
          </w:tcPr>
          <w:p>
            <w:pPr>
              <w:pStyle w:val="18"/>
            </w:pPr>
            <w:r>
              <w:t>租赁土地每亩的平均成本</w:t>
            </w:r>
          </w:p>
        </w:tc>
        <w:tc>
          <w:tcPr>
            <w:tcW w:w="2551" w:type="dxa"/>
            <w:vAlign w:val="center"/>
          </w:tcPr>
          <w:p>
            <w:pPr>
              <w:pStyle w:val="18"/>
            </w:pPr>
            <w:r>
              <w:t>≤0.36万元</w:t>
            </w:r>
          </w:p>
        </w:tc>
        <w:tc>
          <w:tcPr>
            <w:tcW w:w="2268" w:type="dxa"/>
            <w:vAlign w:val="center"/>
          </w:tcPr>
          <w:p>
            <w:pPr>
              <w:pStyle w:val="18"/>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市政基础设施水平完善</w:t>
            </w:r>
          </w:p>
        </w:tc>
        <w:tc>
          <w:tcPr>
            <w:tcW w:w="2835" w:type="dxa"/>
            <w:vAlign w:val="center"/>
          </w:tcPr>
          <w:p>
            <w:pPr>
              <w:pStyle w:val="18"/>
            </w:pPr>
            <w:r>
              <w:t>市政基础设施水平完善</w:t>
            </w:r>
          </w:p>
        </w:tc>
        <w:tc>
          <w:tcPr>
            <w:tcW w:w="2551" w:type="dxa"/>
            <w:vAlign w:val="center"/>
          </w:tcPr>
          <w:p>
            <w:pPr>
              <w:pStyle w:val="18"/>
            </w:pPr>
            <w:r>
              <w:t>进一步完善</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租赁土地使用期限</w:t>
            </w:r>
          </w:p>
        </w:tc>
        <w:tc>
          <w:tcPr>
            <w:tcW w:w="2835" w:type="dxa"/>
            <w:vAlign w:val="center"/>
          </w:tcPr>
          <w:p>
            <w:pPr>
              <w:pStyle w:val="18"/>
            </w:pPr>
            <w:r>
              <w:t>租赁的土地使用期限</w:t>
            </w:r>
          </w:p>
        </w:tc>
        <w:tc>
          <w:tcPr>
            <w:tcW w:w="2551" w:type="dxa"/>
            <w:vAlign w:val="center"/>
          </w:tcPr>
          <w:p>
            <w:pPr>
              <w:pStyle w:val="18"/>
            </w:pPr>
            <w:r>
              <w:t>365天</w:t>
            </w:r>
          </w:p>
        </w:tc>
        <w:tc>
          <w:tcPr>
            <w:tcW w:w="2268" w:type="dxa"/>
            <w:vAlign w:val="center"/>
          </w:tcPr>
          <w:p>
            <w:pPr>
              <w:pStyle w:val="18"/>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受益群体满意度</w:t>
            </w:r>
          </w:p>
        </w:tc>
        <w:tc>
          <w:tcPr>
            <w:tcW w:w="2835" w:type="dxa"/>
            <w:vAlign w:val="center"/>
          </w:tcPr>
          <w:p>
            <w:pPr>
              <w:pStyle w:val="18"/>
            </w:pPr>
            <w:r>
              <w:t>大厂县受益群众对建筑垃圾消纳效果满意度</w:t>
            </w:r>
          </w:p>
        </w:tc>
        <w:tc>
          <w:tcPr>
            <w:tcW w:w="2551" w:type="dxa"/>
            <w:vAlign w:val="center"/>
          </w:tcPr>
          <w:p>
            <w:pPr>
              <w:pStyle w:val="18"/>
            </w:pPr>
            <w:r>
              <w:t>≥95比率</w:t>
            </w:r>
          </w:p>
        </w:tc>
        <w:tc>
          <w:tcPr>
            <w:tcW w:w="2268" w:type="dxa"/>
            <w:vAlign w:val="center"/>
          </w:tcPr>
          <w:p>
            <w:pPr>
              <w:pStyle w:val="18"/>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24、老人大和通顺里公厕改造费用绩效目标表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1.通过2021年8月至9月，对老人大公厕进行地砖、地暖、内外墙保温的改造；2021年10月对通顺里化粪池改建，全面提升我县厕所建设管理水平，实现管理规范、服务优质、群众满意的目标要求。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改造公厕数量</w:t>
            </w:r>
          </w:p>
        </w:tc>
        <w:tc>
          <w:tcPr>
            <w:tcW w:w="2835" w:type="dxa"/>
            <w:vAlign w:val="center"/>
          </w:tcPr>
          <w:p>
            <w:pPr>
              <w:pStyle w:val="18"/>
            </w:pPr>
            <w:r>
              <w:t>城区内公厕改造的数量</w:t>
            </w:r>
          </w:p>
        </w:tc>
        <w:tc>
          <w:tcPr>
            <w:tcW w:w="2551" w:type="dxa"/>
            <w:vAlign w:val="center"/>
          </w:tcPr>
          <w:p>
            <w:pPr>
              <w:pStyle w:val="18"/>
            </w:pPr>
            <w:r>
              <w:t>2座</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工程验收合格率</w:t>
            </w:r>
          </w:p>
        </w:tc>
        <w:tc>
          <w:tcPr>
            <w:tcW w:w="2835" w:type="dxa"/>
            <w:vAlign w:val="center"/>
          </w:tcPr>
          <w:p>
            <w:pPr>
              <w:pStyle w:val="18"/>
            </w:pPr>
            <w:r>
              <w:t>项目的实施使公厕达到标准等级</w:t>
            </w:r>
          </w:p>
        </w:tc>
        <w:tc>
          <w:tcPr>
            <w:tcW w:w="2551" w:type="dxa"/>
            <w:vAlign w:val="center"/>
          </w:tcPr>
          <w:p>
            <w:pPr>
              <w:pStyle w:val="18"/>
            </w:pPr>
            <w:r>
              <w:t>100%</w:t>
            </w:r>
          </w:p>
        </w:tc>
        <w:tc>
          <w:tcPr>
            <w:tcW w:w="2268" w:type="dxa"/>
            <w:vAlign w:val="center"/>
          </w:tcPr>
          <w:p>
            <w:pPr>
              <w:pStyle w:val="18"/>
            </w:pPr>
            <w:r>
              <w:t>《城市公共厕所卫生标准》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项目完成及时率</w:t>
            </w:r>
          </w:p>
        </w:tc>
        <w:tc>
          <w:tcPr>
            <w:tcW w:w="2835" w:type="dxa"/>
            <w:vAlign w:val="center"/>
          </w:tcPr>
          <w:p>
            <w:pPr>
              <w:pStyle w:val="18"/>
            </w:pPr>
            <w:r>
              <w:t>在规定的时间节点内完成改造</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成本偏离率</w:t>
            </w:r>
          </w:p>
        </w:tc>
        <w:tc>
          <w:tcPr>
            <w:tcW w:w="2835" w:type="dxa"/>
            <w:vAlign w:val="center"/>
          </w:tcPr>
          <w:p>
            <w:pPr>
              <w:pStyle w:val="18"/>
            </w:pPr>
            <w:r>
              <w:t>项目成本偏离预算资金比率的绝对值</w:t>
            </w:r>
          </w:p>
        </w:tc>
        <w:tc>
          <w:tcPr>
            <w:tcW w:w="2551" w:type="dxa"/>
            <w:vAlign w:val="center"/>
          </w:tcPr>
          <w:p>
            <w:pPr>
              <w:pStyle w:val="18"/>
            </w:pPr>
            <w:r>
              <w:t>≤10%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化粪池正常运转率</w:t>
            </w:r>
          </w:p>
        </w:tc>
        <w:tc>
          <w:tcPr>
            <w:tcW w:w="2835" w:type="dxa"/>
            <w:vAlign w:val="center"/>
          </w:tcPr>
          <w:p>
            <w:pPr>
              <w:pStyle w:val="18"/>
            </w:pPr>
            <w:r>
              <w:t>项目的实施使化粪池正常运转的情况</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公厕保持规范管理的年限</w:t>
            </w:r>
          </w:p>
        </w:tc>
        <w:tc>
          <w:tcPr>
            <w:tcW w:w="2835" w:type="dxa"/>
            <w:vAlign w:val="center"/>
          </w:tcPr>
          <w:p>
            <w:pPr>
              <w:pStyle w:val="18"/>
            </w:pPr>
            <w:r>
              <w:t>公厕改造后保持规范管理的年限</w:t>
            </w:r>
          </w:p>
        </w:tc>
        <w:tc>
          <w:tcPr>
            <w:tcW w:w="2551" w:type="dxa"/>
            <w:vAlign w:val="center"/>
          </w:tcPr>
          <w:p>
            <w:pPr>
              <w:pStyle w:val="18"/>
            </w:pPr>
            <w:r>
              <w:t>≥10年</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城区群众满意度</w:t>
            </w:r>
          </w:p>
        </w:tc>
        <w:tc>
          <w:tcPr>
            <w:tcW w:w="2835" w:type="dxa"/>
            <w:vAlign w:val="center"/>
          </w:tcPr>
          <w:p>
            <w:pPr>
              <w:pStyle w:val="18"/>
            </w:pPr>
            <w:r>
              <w:t>调查中满意和较满意的人数占调研总人数的比率</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25、零星项目施工资金绩效目标表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1.通过支付6项街道照明工程欠款，保障街道照明设施正常运转，保障社会安定。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项目数量</w:t>
            </w:r>
          </w:p>
        </w:tc>
        <w:tc>
          <w:tcPr>
            <w:tcW w:w="2835" w:type="dxa"/>
            <w:vAlign w:val="center"/>
          </w:tcPr>
          <w:p>
            <w:pPr>
              <w:pStyle w:val="18"/>
            </w:pPr>
            <w:r>
              <w:t>欠款项目数量</w:t>
            </w:r>
          </w:p>
        </w:tc>
        <w:tc>
          <w:tcPr>
            <w:tcW w:w="2551" w:type="dxa"/>
            <w:vAlign w:val="center"/>
          </w:tcPr>
          <w:p>
            <w:pPr>
              <w:pStyle w:val="18"/>
            </w:pPr>
            <w:r>
              <w:t>6项</w:t>
            </w:r>
          </w:p>
        </w:tc>
        <w:tc>
          <w:tcPr>
            <w:tcW w:w="2268" w:type="dxa"/>
            <w:vAlign w:val="center"/>
          </w:tcPr>
          <w:p>
            <w:pPr>
              <w:pStyle w:val="18"/>
            </w:pPr>
            <w:r>
              <w:t>欠款清单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设施完好率</w:t>
            </w:r>
          </w:p>
        </w:tc>
        <w:tc>
          <w:tcPr>
            <w:tcW w:w="2835" w:type="dxa"/>
            <w:vAlign w:val="center"/>
          </w:tcPr>
          <w:p>
            <w:pPr>
              <w:pStyle w:val="18"/>
            </w:pPr>
            <w:r>
              <w:t>维修保障设施完好率</w:t>
            </w:r>
          </w:p>
        </w:tc>
        <w:tc>
          <w:tcPr>
            <w:tcW w:w="2551" w:type="dxa"/>
            <w:vAlign w:val="center"/>
          </w:tcPr>
          <w:p>
            <w:pPr>
              <w:pStyle w:val="18"/>
            </w:pPr>
            <w:r>
              <w:t>100%</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欠款支付及时性</w:t>
            </w:r>
          </w:p>
        </w:tc>
        <w:tc>
          <w:tcPr>
            <w:tcW w:w="2835" w:type="dxa"/>
            <w:vAlign w:val="center"/>
          </w:tcPr>
          <w:p>
            <w:pPr>
              <w:pStyle w:val="18"/>
            </w:pPr>
            <w:r>
              <w:t>按合同约定及时支付各项欠款</w:t>
            </w:r>
          </w:p>
        </w:tc>
        <w:tc>
          <w:tcPr>
            <w:tcW w:w="2551" w:type="dxa"/>
            <w:vAlign w:val="center"/>
          </w:tcPr>
          <w:p>
            <w:pPr>
              <w:pStyle w:val="18"/>
            </w:pPr>
            <w:r>
              <w:t>≤8月</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施工成本</w:t>
            </w:r>
          </w:p>
        </w:tc>
        <w:tc>
          <w:tcPr>
            <w:tcW w:w="2835" w:type="dxa"/>
            <w:vAlign w:val="center"/>
          </w:tcPr>
          <w:p>
            <w:pPr>
              <w:pStyle w:val="18"/>
            </w:pPr>
            <w:r>
              <w:t>施工项目所需资金</w:t>
            </w:r>
          </w:p>
        </w:tc>
        <w:tc>
          <w:tcPr>
            <w:tcW w:w="2551" w:type="dxa"/>
            <w:vAlign w:val="center"/>
          </w:tcPr>
          <w:p>
            <w:pPr>
              <w:pStyle w:val="18"/>
            </w:pPr>
            <w:r>
              <w:t>16.59万元</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保障区域照明率</w:t>
            </w:r>
          </w:p>
        </w:tc>
        <w:tc>
          <w:tcPr>
            <w:tcW w:w="2835" w:type="dxa"/>
            <w:vAlign w:val="center"/>
          </w:tcPr>
          <w:p>
            <w:pPr>
              <w:pStyle w:val="18"/>
            </w:pPr>
            <w:r>
              <w:t>保障区域照明率</w:t>
            </w:r>
          </w:p>
        </w:tc>
        <w:tc>
          <w:tcPr>
            <w:tcW w:w="2551" w:type="dxa"/>
            <w:vAlign w:val="center"/>
          </w:tcPr>
          <w:p>
            <w:pPr>
              <w:pStyle w:val="18"/>
            </w:pPr>
            <w:r>
              <w:t>＝100比率</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保障照明设施正常运行天数</w:t>
            </w:r>
          </w:p>
        </w:tc>
        <w:tc>
          <w:tcPr>
            <w:tcW w:w="2835" w:type="dxa"/>
            <w:vAlign w:val="center"/>
          </w:tcPr>
          <w:p>
            <w:pPr>
              <w:pStyle w:val="18"/>
            </w:pPr>
            <w:r>
              <w:t>保障街道照明设施正常运转的天数</w:t>
            </w:r>
          </w:p>
        </w:tc>
        <w:tc>
          <w:tcPr>
            <w:tcW w:w="2551" w:type="dxa"/>
            <w:vAlign w:val="center"/>
          </w:tcPr>
          <w:p>
            <w:pPr>
              <w:pStyle w:val="18"/>
            </w:pPr>
            <w:r>
              <w:t>＝365天</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居民满意度</w:t>
            </w:r>
          </w:p>
        </w:tc>
        <w:tc>
          <w:tcPr>
            <w:tcW w:w="2835" w:type="dxa"/>
            <w:vAlign w:val="center"/>
          </w:tcPr>
          <w:p>
            <w:pPr>
              <w:pStyle w:val="18"/>
            </w:pPr>
            <w:r>
              <w:t>对服务对象满意度进行调查，满意人数占比</w:t>
            </w:r>
          </w:p>
        </w:tc>
        <w:tc>
          <w:tcPr>
            <w:tcW w:w="2551" w:type="dxa"/>
            <w:vAlign w:val="center"/>
          </w:tcPr>
          <w:p>
            <w:pPr>
              <w:pStyle w:val="18"/>
            </w:pPr>
            <w:r>
              <w:t>≥0.99比率</w:t>
            </w:r>
          </w:p>
        </w:tc>
        <w:tc>
          <w:tcPr>
            <w:tcW w:w="2268" w:type="dxa"/>
            <w:vAlign w:val="center"/>
          </w:tcPr>
          <w:p>
            <w:pPr>
              <w:pStyle w:val="18"/>
            </w:pPr>
            <w:r>
              <w:t>根据满意度调查结果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26、路灯电费绩效目标表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1.通过项目的开展，保证管辖范围内路灯全年用电。灯杆总数2400余颗，灯头总数6400余个。</w:t>
            </w:r>
          </w:p>
          <w:p>
            <w:pPr>
              <w:pStyle w:val="18"/>
            </w:pPr>
            <w:r>
              <w:t>2.通过项目的开展，保证辖区内路灯按时点亮。包括102国道、河西营段、李大线、大香线、及县城内共计40条路段。</w:t>
            </w:r>
          </w:p>
          <w:p>
            <w:pPr>
              <w:pStyle w:val="18"/>
            </w:pPr>
            <w:r>
              <w:t>3.通过项目的开展，保证路灯不断电，方便居民晚间出行。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路灯数量</w:t>
            </w:r>
          </w:p>
        </w:tc>
        <w:tc>
          <w:tcPr>
            <w:tcW w:w="2835" w:type="dxa"/>
            <w:vAlign w:val="center"/>
          </w:tcPr>
          <w:p>
            <w:pPr>
              <w:pStyle w:val="18"/>
            </w:pPr>
            <w:r>
              <w:t>保障亮灯数量</w:t>
            </w:r>
          </w:p>
        </w:tc>
        <w:tc>
          <w:tcPr>
            <w:tcW w:w="2551" w:type="dxa"/>
            <w:vAlign w:val="center"/>
          </w:tcPr>
          <w:p>
            <w:pPr>
              <w:pStyle w:val="18"/>
            </w:pPr>
            <w:r>
              <w:t>≥6400盏</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路灯亮灯天数</w:t>
            </w:r>
          </w:p>
        </w:tc>
        <w:tc>
          <w:tcPr>
            <w:tcW w:w="2835" w:type="dxa"/>
            <w:vAlign w:val="center"/>
          </w:tcPr>
          <w:p>
            <w:pPr>
              <w:pStyle w:val="18"/>
            </w:pPr>
            <w:r>
              <w:t>路灯亮灯天数</w:t>
            </w:r>
          </w:p>
        </w:tc>
        <w:tc>
          <w:tcPr>
            <w:tcW w:w="2551" w:type="dxa"/>
            <w:vAlign w:val="center"/>
          </w:tcPr>
          <w:p>
            <w:pPr>
              <w:pStyle w:val="18"/>
            </w:pPr>
            <w:r>
              <w:t>≥360天</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完成及时率</w:t>
            </w:r>
          </w:p>
        </w:tc>
        <w:tc>
          <w:tcPr>
            <w:tcW w:w="2835" w:type="dxa"/>
            <w:vAlign w:val="center"/>
          </w:tcPr>
          <w:p>
            <w:pPr>
              <w:pStyle w:val="18"/>
            </w:pPr>
            <w:r>
              <w:t>在规定的时间节点内完成</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成本偏离率</w:t>
            </w:r>
          </w:p>
        </w:tc>
        <w:tc>
          <w:tcPr>
            <w:tcW w:w="2835" w:type="dxa"/>
            <w:vAlign w:val="center"/>
          </w:tcPr>
          <w:p>
            <w:pPr>
              <w:pStyle w:val="18"/>
            </w:pPr>
            <w:r>
              <w:t>项目成本偏离预算资金比率的绝对值</w:t>
            </w:r>
          </w:p>
        </w:tc>
        <w:tc>
          <w:tcPr>
            <w:tcW w:w="2551" w:type="dxa"/>
            <w:vAlign w:val="center"/>
          </w:tcPr>
          <w:p>
            <w:pPr>
              <w:pStyle w:val="18"/>
            </w:pPr>
            <w:r>
              <w:t>≤10%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亮灯率</w:t>
            </w:r>
          </w:p>
        </w:tc>
        <w:tc>
          <w:tcPr>
            <w:tcW w:w="2835" w:type="dxa"/>
            <w:vAlign w:val="center"/>
          </w:tcPr>
          <w:p>
            <w:pPr>
              <w:pStyle w:val="18"/>
            </w:pPr>
            <w:r>
              <w:t>管辖区域夜晚亮灯情况</w:t>
            </w:r>
          </w:p>
        </w:tc>
        <w:tc>
          <w:tcPr>
            <w:tcW w:w="2551" w:type="dxa"/>
            <w:vAlign w:val="center"/>
          </w:tcPr>
          <w:p>
            <w:pPr>
              <w:pStyle w:val="18"/>
            </w:pPr>
            <w:r>
              <w:t>≥95%</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保证路灯照明正常运行年限</w:t>
            </w:r>
          </w:p>
        </w:tc>
        <w:tc>
          <w:tcPr>
            <w:tcW w:w="2835" w:type="dxa"/>
            <w:vAlign w:val="center"/>
          </w:tcPr>
          <w:p>
            <w:pPr>
              <w:pStyle w:val="18"/>
            </w:pPr>
            <w:r>
              <w:t>保证路灯照明正常运行年限</w:t>
            </w:r>
          </w:p>
        </w:tc>
        <w:tc>
          <w:tcPr>
            <w:tcW w:w="2551" w:type="dxa"/>
            <w:vAlign w:val="center"/>
          </w:tcPr>
          <w:p>
            <w:pPr>
              <w:pStyle w:val="18"/>
            </w:pPr>
            <w:r>
              <w:t>≥1年</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2835" w:type="dxa"/>
            <w:vAlign w:val="center"/>
          </w:tcPr>
          <w:p>
            <w:pPr>
              <w:pStyle w:val="18"/>
            </w:pPr>
            <w:r>
              <w:t>居民对亮灯率满意程度</w:t>
            </w:r>
          </w:p>
        </w:tc>
        <w:tc>
          <w:tcPr>
            <w:tcW w:w="2551" w:type="dxa"/>
            <w:vAlign w:val="center"/>
          </w:tcPr>
          <w:p>
            <w:pPr>
              <w:pStyle w:val="18"/>
            </w:pPr>
            <w:r>
              <w:t>≥95%</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27、路灯运行费绩效目标表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1.通过对路灯队管辖范围内路灯的巡查、维修、管护。灯杆总数2400余颗，灯头总数6400余个。保证辖区内路灯故障及时修复。包括102国道、河西营段、李大线、大香线、及县城内共计40条路段。</w:t>
            </w:r>
          </w:p>
          <w:p>
            <w:pPr>
              <w:pStyle w:val="18"/>
            </w:pPr>
            <w:r>
              <w:t>2.通过项目的开展，保证路灯照明正常运行，方便居民晚间出行。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路灯管护数量</w:t>
            </w:r>
          </w:p>
        </w:tc>
        <w:tc>
          <w:tcPr>
            <w:tcW w:w="2835" w:type="dxa"/>
            <w:vAlign w:val="center"/>
          </w:tcPr>
          <w:p>
            <w:pPr>
              <w:pStyle w:val="18"/>
            </w:pPr>
            <w:r>
              <w:t>管护路灯的数量</w:t>
            </w:r>
          </w:p>
        </w:tc>
        <w:tc>
          <w:tcPr>
            <w:tcW w:w="2551" w:type="dxa"/>
            <w:vAlign w:val="center"/>
          </w:tcPr>
          <w:p>
            <w:pPr>
              <w:pStyle w:val="18"/>
            </w:pPr>
            <w:r>
              <w:t>≥6400盏</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管护、维修达标率</w:t>
            </w:r>
          </w:p>
        </w:tc>
        <w:tc>
          <w:tcPr>
            <w:tcW w:w="2835" w:type="dxa"/>
            <w:vAlign w:val="center"/>
          </w:tcPr>
          <w:p>
            <w:pPr>
              <w:pStyle w:val="18"/>
            </w:pPr>
            <w:r>
              <w:t>管护、维修达标情况</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维修及时率</w:t>
            </w:r>
          </w:p>
        </w:tc>
        <w:tc>
          <w:tcPr>
            <w:tcW w:w="2835" w:type="dxa"/>
            <w:vAlign w:val="center"/>
          </w:tcPr>
          <w:p>
            <w:pPr>
              <w:pStyle w:val="18"/>
            </w:pPr>
            <w:r>
              <w:t>及时维修的次数与应维修次数的比例</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成本偏离率</w:t>
            </w:r>
          </w:p>
        </w:tc>
        <w:tc>
          <w:tcPr>
            <w:tcW w:w="2835" w:type="dxa"/>
            <w:vAlign w:val="center"/>
          </w:tcPr>
          <w:p>
            <w:pPr>
              <w:pStyle w:val="18"/>
            </w:pPr>
            <w:r>
              <w:t>项目成本偏离预算资金比率的绝对值</w:t>
            </w:r>
          </w:p>
        </w:tc>
        <w:tc>
          <w:tcPr>
            <w:tcW w:w="2551" w:type="dxa"/>
            <w:vAlign w:val="center"/>
          </w:tcPr>
          <w:p>
            <w:pPr>
              <w:pStyle w:val="18"/>
            </w:pPr>
            <w:r>
              <w:t>≤10%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路灯设施完好率</w:t>
            </w:r>
          </w:p>
        </w:tc>
        <w:tc>
          <w:tcPr>
            <w:tcW w:w="2835" w:type="dxa"/>
            <w:vAlign w:val="center"/>
          </w:tcPr>
          <w:p>
            <w:pPr>
              <w:pStyle w:val="18"/>
            </w:pPr>
            <w:r>
              <w:t>路灯及附属设施完善情况</w:t>
            </w:r>
          </w:p>
        </w:tc>
        <w:tc>
          <w:tcPr>
            <w:tcW w:w="2551" w:type="dxa"/>
            <w:vAlign w:val="center"/>
          </w:tcPr>
          <w:p>
            <w:pPr>
              <w:pStyle w:val="18"/>
            </w:pPr>
            <w:r>
              <w:t>≥95%</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社会效益指标</w:t>
            </w:r>
          </w:p>
        </w:tc>
        <w:tc>
          <w:tcPr>
            <w:tcW w:w="2835" w:type="dxa"/>
            <w:vAlign w:val="center"/>
          </w:tcPr>
          <w:p>
            <w:pPr>
              <w:pStyle w:val="18"/>
            </w:pPr>
            <w:r>
              <w:t>亮灯率</w:t>
            </w:r>
          </w:p>
        </w:tc>
        <w:tc>
          <w:tcPr>
            <w:tcW w:w="2835" w:type="dxa"/>
            <w:vAlign w:val="center"/>
          </w:tcPr>
          <w:p>
            <w:pPr>
              <w:pStyle w:val="18"/>
            </w:pPr>
            <w:r>
              <w:t>管辖区域夜晚亮灯情况</w:t>
            </w:r>
          </w:p>
        </w:tc>
        <w:tc>
          <w:tcPr>
            <w:tcW w:w="2551" w:type="dxa"/>
            <w:vAlign w:val="center"/>
          </w:tcPr>
          <w:p>
            <w:pPr>
              <w:pStyle w:val="18"/>
            </w:pPr>
            <w:r>
              <w:t>≥95%</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保证路灯照明正常运行年限</w:t>
            </w:r>
          </w:p>
        </w:tc>
        <w:tc>
          <w:tcPr>
            <w:tcW w:w="2835" w:type="dxa"/>
            <w:vAlign w:val="center"/>
          </w:tcPr>
          <w:p>
            <w:pPr>
              <w:pStyle w:val="18"/>
            </w:pPr>
            <w:r>
              <w:t>保证路灯照明正常运行年限</w:t>
            </w:r>
          </w:p>
        </w:tc>
        <w:tc>
          <w:tcPr>
            <w:tcW w:w="2551" w:type="dxa"/>
            <w:vAlign w:val="center"/>
          </w:tcPr>
          <w:p>
            <w:pPr>
              <w:pStyle w:val="18"/>
            </w:pPr>
            <w:r>
              <w:t>≥1年</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过往群众满意度</w:t>
            </w:r>
          </w:p>
        </w:tc>
        <w:tc>
          <w:tcPr>
            <w:tcW w:w="2835" w:type="dxa"/>
            <w:vAlign w:val="center"/>
          </w:tcPr>
          <w:p>
            <w:pPr>
              <w:pStyle w:val="18"/>
            </w:pPr>
            <w:r>
              <w:t>过往群众满意度</w:t>
            </w:r>
          </w:p>
        </w:tc>
        <w:tc>
          <w:tcPr>
            <w:tcW w:w="2551" w:type="dxa"/>
            <w:vAlign w:val="center"/>
          </w:tcPr>
          <w:p>
            <w:pPr>
              <w:pStyle w:val="18"/>
            </w:pPr>
            <w:r>
              <w:t>≥95%</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28、市政环卫车辆安装远程排放管理车载终端（OBD）资金绩效目标表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1.通过对20辆重型柴油货车安装远程排放管理车载终端，进一步加强柴油货车排放管控工作，防治大气污染。</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安装车载终端（OBD）数量</w:t>
            </w:r>
          </w:p>
        </w:tc>
        <w:tc>
          <w:tcPr>
            <w:tcW w:w="2835" w:type="dxa"/>
            <w:vAlign w:val="center"/>
          </w:tcPr>
          <w:p>
            <w:pPr>
              <w:pStyle w:val="18"/>
            </w:pPr>
            <w:r>
              <w:t>安装远程排放管理车载终端（OBD）重型柴油货车数量</w:t>
            </w:r>
          </w:p>
        </w:tc>
        <w:tc>
          <w:tcPr>
            <w:tcW w:w="2551" w:type="dxa"/>
            <w:vAlign w:val="center"/>
          </w:tcPr>
          <w:p>
            <w:pPr>
              <w:pStyle w:val="18"/>
            </w:pPr>
            <w:r>
              <w:t>20辆</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OBD质量合格率</w:t>
            </w:r>
          </w:p>
        </w:tc>
        <w:tc>
          <w:tcPr>
            <w:tcW w:w="2835" w:type="dxa"/>
            <w:vAlign w:val="center"/>
          </w:tcPr>
          <w:p>
            <w:pPr>
              <w:pStyle w:val="18"/>
            </w:pPr>
            <w:r>
              <w:t>OBD质量合格率</w:t>
            </w:r>
          </w:p>
        </w:tc>
        <w:tc>
          <w:tcPr>
            <w:tcW w:w="2551" w:type="dxa"/>
            <w:vAlign w:val="center"/>
          </w:tcPr>
          <w:p>
            <w:pPr>
              <w:pStyle w:val="18"/>
            </w:pPr>
            <w:r>
              <w:t>100%</w:t>
            </w:r>
          </w:p>
        </w:tc>
        <w:tc>
          <w:tcPr>
            <w:tcW w:w="2268"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资金拨付及时性</w:t>
            </w:r>
          </w:p>
        </w:tc>
        <w:tc>
          <w:tcPr>
            <w:tcW w:w="2835" w:type="dxa"/>
            <w:vAlign w:val="center"/>
          </w:tcPr>
          <w:p>
            <w:pPr>
              <w:pStyle w:val="18"/>
            </w:pPr>
            <w:r>
              <w:t>2022年预算拨付完成时间</w:t>
            </w:r>
          </w:p>
        </w:tc>
        <w:tc>
          <w:tcPr>
            <w:tcW w:w="2551" w:type="dxa"/>
            <w:vAlign w:val="center"/>
          </w:tcPr>
          <w:p>
            <w:pPr>
              <w:pStyle w:val="18"/>
            </w:pPr>
            <w:r>
              <w:t>合同约定时间内支付</w:t>
            </w:r>
          </w:p>
        </w:tc>
        <w:tc>
          <w:tcPr>
            <w:tcW w:w="2268"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车载终端（OBD）单位成本</w:t>
            </w:r>
          </w:p>
        </w:tc>
        <w:tc>
          <w:tcPr>
            <w:tcW w:w="2835" w:type="dxa"/>
            <w:vAlign w:val="center"/>
          </w:tcPr>
          <w:p>
            <w:pPr>
              <w:pStyle w:val="18"/>
            </w:pPr>
            <w:r>
              <w:t>远程排放管理车载终端（OBD）单位成本</w:t>
            </w:r>
          </w:p>
        </w:tc>
        <w:tc>
          <w:tcPr>
            <w:tcW w:w="2551" w:type="dxa"/>
            <w:vAlign w:val="center"/>
          </w:tcPr>
          <w:p>
            <w:pPr>
              <w:pStyle w:val="18"/>
            </w:pPr>
            <w:r>
              <w:t>≤0.11万元</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排放管理控制率</w:t>
            </w:r>
          </w:p>
        </w:tc>
        <w:tc>
          <w:tcPr>
            <w:tcW w:w="2835" w:type="dxa"/>
            <w:vAlign w:val="center"/>
          </w:tcPr>
          <w:p>
            <w:pPr>
              <w:pStyle w:val="18"/>
            </w:pPr>
            <w:r>
              <w:t>排放管控达标，防止大气污染</w:t>
            </w:r>
          </w:p>
        </w:tc>
        <w:tc>
          <w:tcPr>
            <w:tcW w:w="2551" w:type="dxa"/>
            <w:vAlign w:val="center"/>
          </w:tcPr>
          <w:p>
            <w:pPr>
              <w:pStyle w:val="18"/>
            </w:pPr>
            <w:r>
              <w:t>100%</w:t>
            </w:r>
          </w:p>
        </w:tc>
        <w:tc>
          <w:tcPr>
            <w:tcW w:w="2268" w:type="dxa"/>
            <w:vAlign w:val="center"/>
          </w:tcPr>
          <w:p>
            <w:pPr>
              <w:pStyle w:val="18"/>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车载终端使用年限</w:t>
            </w:r>
          </w:p>
        </w:tc>
        <w:tc>
          <w:tcPr>
            <w:tcW w:w="2835" w:type="dxa"/>
            <w:vAlign w:val="center"/>
          </w:tcPr>
          <w:p>
            <w:pPr>
              <w:pStyle w:val="18"/>
            </w:pPr>
            <w:r>
              <w:t>安装远程排放管理车载终端（OBD）的使用年限</w:t>
            </w:r>
          </w:p>
        </w:tc>
        <w:tc>
          <w:tcPr>
            <w:tcW w:w="2551" w:type="dxa"/>
            <w:vAlign w:val="center"/>
          </w:tcPr>
          <w:p>
            <w:pPr>
              <w:pStyle w:val="18"/>
            </w:pPr>
            <w:r>
              <w:t>永久</w:t>
            </w:r>
          </w:p>
        </w:tc>
        <w:tc>
          <w:tcPr>
            <w:tcW w:w="2268" w:type="dxa"/>
            <w:vAlign w:val="center"/>
          </w:tcPr>
          <w:p>
            <w:pPr>
              <w:pStyle w:val="18"/>
            </w:pPr>
            <w:r>
              <w:t>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周边群众满意度</w:t>
            </w:r>
          </w:p>
        </w:tc>
        <w:tc>
          <w:tcPr>
            <w:tcW w:w="2835" w:type="dxa"/>
            <w:vAlign w:val="center"/>
          </w:tcPr>
          <w:p>
            <w:pPr>
              <w:pStyle w:val="18"/>
            </w:pPr>
            <w:r>
              <w:t>周边群众满意度</w:t>
            </w:r>
          </w:p>
        </w:tc>
        <w:tc>
          <w:tcPr>
            <w:tcW w:w="2551" w:type="dxa"/>
            <w:vAlign w:val="center"/>
          </w:tcPr>
          <w:p>
            <w:pPr>
              <w:pStyle w:val="18"/>
            </w:pPr>
            <w:r>
              <w:t>≥95比率</w:t>
            </w:r>
          </w:p>
        </w:tc>
        <w:tc>
          <w:tcPr>
            <w:tcW w:w="2268" w:type="dxa"/>
            <w:vAlign w:val="center"/>
          </w:tcPr>
          <w:p>
            <w:pPr>
              <w:pStyle w:val="18"/>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29、市政停车场租赁资金绩效目标表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1.通过9300平米停车场地的租赁使我县市政车辆合理停放。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租赁停车场面积</w:t>
            </w:r>
          </w:p>
        </w:tc>
        <w:tc>
          <w:tcPr>
            <w:tcW w:w="2835" w:type="dxa"/>
            <w:vAlign w:val="center"/>
          </w:tcPr>
          <w:p>
            <w:pPr>
              <w:pStyle w:val="18"/>
            </w:pPr>
            <w:r>
              <w:t>租赁停车场面积</w:t>
            </w:r>
          </w:p>
        </w:tc>
        <w:tc>
          <w:tcPr>
            <w:tcW w:w="2551" w:type="dxa"/>
            <w:vAlign w:val="center"/>
          </w:tcPr>
          <w:p>
            <w:pPr>
              <w:pStyle w:val="18"/>
            </w:pPr>
            <w:r>
              <w:t>9300平米</w:t>
            </w:r>
          </w:p>
        </w:tc>
        <w:tc>
          <w:tcPr>
            <w:tcW w:w="2268" w:type="dxa"/>
            <w:vAlign w:val="center"/>
          </w:tcPr>
          <w:p>
            <w:pPr>
              <w:pStyle w:val="18"/>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使用面积达标率</w:t>
            </w:r>
          </w:p>
        </w:tc>
        <w:tc>
          <w:tcPr>
            <w:tcW w:w="2835" w:type="dxa"/>
            <w:vAlign w:val="center"/>
          </w:tcPr>
          <w:p>
            <w:pPr>
              <w:pStyle w:val="18"/>
            </w:pPr>
            <w:r>
              <w:t>符合停车场租赁标准，使用面积达标率</w:t>
            </w:r>
          </w:p>
        </w:tc>
        <w:tc>
          <w:tcPr>
            <w:tcW w:w="2551" w:type="dxa"/>
            <w:vAlign w:val="center"/>
          </w:tcPr>
          <w:p>
            <w:pPr>
              <w:pStyle w:val="18"/>
            </w:pPr>
            <w:r>
              <w:t>100%</w:t>
            </w:r>
          </w:p>
        </w:tc>
        <w:tc>
          <w:tcPr>
            <w:tcW w:w="2268" w:type="dxa"/>
            <w:vAlign w:val="center"/>
          </w:tcPr>
          <w:p>
            <w:pPr>
              <w:pStyle w:val="18"/>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租金支付及时性</w:t>
            </w:r>
          </w:p>
        </w:tc>
        <w:tc>
          <w:tcPr>
            <w:tcW w:w="2835" w:type="dxa"/>
            <w:vAlign w:val="center"/>
          </w:tcPr>
          <w:p>
            <w:pPr>
              <w:pStyle w:val="18"/>
            </w:pPr>
            <w:r>
              <w:t>按照租赁合同及时支付租金</w:t>
            </w:r>
          </w:p>
        </w:tc>
        <w:tc>
          <w:tcPr>
            <w:tcW w:w="2551" w:type="dxa"/>
            <w:vAlign w:val="center"/>
          </w:tcPr>
          <w:p>
            <w:pPr>
              <w:pStyle w:val="18"/>
            </w:pPr>
            <w:r>
              <w:t>≤12月</w:t>
            </w:r>
          </w:p>
        </w:tc>
        <w:tc>
          <w:tcPr>
            <w:tcW w:w="2268" w:type="dxa"/>
            <w:vAlign w:val="center"/>
          </w:tcPr>
          <w:p>
            <w:pPr>
              <w:pStyle w:val="18"/>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单位面积停车场年度租赁费</w:t>
            </w:r>
          </w:p>
        </w:tc>
        <w:tc>
          <w:tcPr>
            <w:tcW w:w="2835" w:type="dxa"/>
            <w:vAlign w:val="center"/>
          </w:tcPr>
          <w:p>
            <w:pPr>
              <w:pStyle w:val="18"/>
            </w:pPr>
            <w:r>
              <w:t>停车场每平方米年度租赁费</w:t>
            </w:r>
          </w:p>
        </w:tc>
        <w:tc>
          <w:tcPr>
            <w:tcW w:w="2551" w:type="dxa"/>
            <w:vAlign w:val="center"/>
          </w:tcPr>
          <w:p>
            <w:pPr>
              <w:pStyle w:val="18"/>
            </w:pPr>
            <w:r>
              <w:t>≤0万元/平方米</w:t>
            </w:r>
          </w:p>
        </w:tc>
        <w:tc>
          <w:tcPr>
            <w:tcW w:w="2268" w:type="dxa"/>
            <w:vAlign w:val="center"/>
          </w:tcPr>
          <w:p>
            <w:pPr>
              <w:pStyle w:val="18"/>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保障停放车辆数量</w:t>
            </w:r>
          </w:p>
        </w:tc>
        <w:tc>
          <w:tcPr>
            <w:tcW w:w="2835" w:type="dxa"/>
            <w:vAlign w:val="center"/>
          </w:tcPr>
          <w:p>
            <w:pPr>
              <w:pStyle w:val="18"/>
            </w:pPr>
            <w:r>
              <w:t>租赁停车场保障停放车辆数量</w:t>
            </w:r>
          </w:p>
        </w:tc>
        <w:tc>
          <w:tcPr>
            <w:tcW w:w="2551" w:type="dxa"/>
            <w:vAlign w:val="center"/>
          </w:tcPr>
          <w:p>
            <w:pPr>
              <w:pStyle w:val="18"/>
            </w:pPr>
            <w:r>
              <w:t>68辆</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停车场使用期限</w:t>
            </w:r>
          </w:p>
        </w:tc>
        <w:tc>
          <w:tcPr>
            <w:tcW w:w="2835" w:type="dxa"/>
            <w:vAlign w:val="center"/>
          </w:tcPr>
          <w:p>
            <w:pPr>
              <w:pStyle w:val="18"/>
            </w:pPr>
            <w:r>
              <w:t>停车场使用期限</w:t>
            </w:r>
          </w:p>
        </w:tc>
        <w:tc>
          <w:tcPr>
            <w:tcW w:w="2551" w:type="dxa"/>
            <w:vAlign w:val="center"/>
          </w:tcPr>
          <w:p>
            <w:pPr>
              <w:pStyle w:val="18"/>
            </w:pPr>
            <w:r>
              <w:t>2022年1月1日-2022年12月31</w:t>
            </w:r>
          </w:p>
        </w:tc>
        <w:tc>
          <w:tcPr>
            <w:tcW w:w="2268" w:type="dxa"/>
            <w:vAlign w:val="center"/>
          </w:tcPr>
          <w:p>
            <w:pPr>
              <w:pStyle w:val="18"/>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停放车辆单位满意度</w:t>
            </w:r>
          </w:p>
        </w:tc>
        <w:tc>
          <w:tcPr>
            <w:tcW w:w="2835" w:type="dxa"/>
            <w:vAlign w:val="center"/>
          </w:tcPr>
          <w:p>
            <w:pPr>
              <w:pStyle w:val="18"/>
            </w:pPr>
            <w:r>
              <w:t>停放车辆单位满意度</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30、停车附属设施安装经费绩效目标表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  用于停车附属设施（路灯、监控、岗亭、指示标识等）采购安装，解决停车管理问题。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停车附属设施</w:t>
            </w:r>
          </w:p>
        </w:tc>
        <w:tc>
          <w:tcPr>
            <w:tcW w:w="2835" w:type="dxa"/>
            <w:vAlign w:val="center"/>
          </w:tcPr>
          <w:p>
            <w:pPr>
              <w:pStyle w:val="18"/>
            </w:pPr>
            <w:r>
              <w:t>包括路灯、监控、岗亭、标识）</w:t>
            </w:r>
          </w:p>
        </w:tc>
        <w:tc>
          <w:tcPr>
            <w:tcW w:w="2551" w:type="dxa"/>
            <w:vAlign w:val="center"/>
          </w:tcPr>
          <w:p>
            <w:pPr>
              <w:pStyle w:val="18"/>
            </w:pPr>
            <w:r>
              <w:t>1 套</w:t>
            </w:r>
          </w:p>
        </w:tc>
        <w:tc>
          <w:tcPr>
            <w:tcW w:w="2268" w:type="dxa"/>
            <w:vAlign w:val="center"/>
          </w:tcPr>
          <w:p>
            <w:pPr>
              <w:pStyle w:val="18"/>
            </w:pPr>
            <w:r>
              <w:t xml:space="preserve"> 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停车附属设施验收达到合格率</w:t>
            </w:r>
          </w:p>
        </w:tc>
        <w:tc>
          <w:tcPr>
            <w:tcW w:w="2551" w:type="dxa"/>
            <w:vAlign w:val="center"/>
          </w:tcPr>
          <w:p>
            <w:pPr>
              <w:pStyle w:val="18"/>
            </w:pPr>
            <w:r>
              <w:t>100％</w:t>
            </w:r>
          </w:p>
        </w:tc>
        <w:tc>
          <w:tcPr>
            <w:tcW w:w="2268" w:type="dxa"/>
            <w:vAlign w:val="center"/>
          </w:tcPr>
          <w:p>
            <w:pPr>
              <w:pStyle w:val="18"/>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资金支付及时性</w:t>
            </w:r>
          </w:p>
        </w:tc>
        <w:tc>
          <w:tcPr>
            <w:tcW w:w="2835" w:type="dxa"/>
            <w:vAlign w:val="center"/>
          </w:tcPr>
          <w:p>
            <w:pPr>
              <w:pStyle w:val="18"/>
            </w:pPr>
            <w:r>
              <w:t>按合同约定及时支付</w:t>
            </w:r>
          </w:p>
        </w:tc>
        <w:tc>
          <w:tcPr>
            <w:tcW w:w="2551" w:type="dxa"/>
            <w:vAlign w:val="center"/>
          </w:tcPr>
          <w:p>
            <w:pPr>
              <w:pStyle w:val="18"/>
            </w:pPr>
            <w:r>
              <w:t>按合同约定</w:t>
            </w:r>
          </w:p>
        </w:tc>
        <w:tc>
          <w:tcPr>
            <w:tcW w:w="2268" w:type="dxa"/>
            <w:vAlign w:val="center"/>
          </w:tcPr>
          <w:p>
            <w:pPr>
              <w:pStyle w:val="18"/>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停车附属设施8万元</w:t>
            </w:r>
          </w:p>
        </w:tc>
        <w:tc>
          <w:tcPr>
            <w:tcW w:w="2835" w:type="dxa"/>
            <w:vAlign w:val="center"/>
          </w:tcPr>
          <w:p>
            <w:pPr>
              <w:pStyle w:val="18"/>
            </w:pPr>
            <w:r>
              <w:t>停车附属设施安装（调试）</w:t>
            </w:r>
          </w:p>
        </w:tc>
        <w:tc>
          <w:tcPr>
            <w:tcW w:w="2551" w:type="dxa"/>
            <w:vAlign w:val="center"/>
          </w:tcPr>
          <w:p>
            <w:pPr>
              <w:pStyle w:val="18"/>
            </w:pPr>
            <w:r>
              <w:t>8 万元</w:t>
            </w:r>
          </w:p>
        </w:tc>
        <w:tc>
          <w:tcPr>
            <w:tcW w:w="2268" w:type="dxa"/>
            <w:vAlign w:val="center"/>
          </w:tcPr>
          <w:p>
            <w:pPr>
              <w:pStyle w:val="18"/>
            </w:pPr>
            <w:r>
              <w:t xml:space="preserve"> 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管理设施齐全</w:t>
            </w:r>
          </w:p>
        </w:tc>
        <w:tc>
          <w:tcPr>
            <w:tcW w:w="2835" w:type="dxa"/>
            <w:vAlign w:val="center"/>
          </w:tcPr>
          <w:p>
            <w:pPr>
              <w:pStyle w:val="18"/>
            </w:pPr>
            <w:r>
              <w:t>按实施计划内容，各项管理设施齐全情况</w:t>
            </w:r>
          </w:p>
        </w:tc>
        <w:tc>
          <w:tcPr>
            <w:tcW w:w="2551" w:type="dxa"/>
            <w:vAlign w:val="center"/>
          </w:tcPr>
          <w:p>
            <w:pPr>
              <w:pStyle w:val="18"/>
            </w:pPr>
            <w:r>
              <w:t>齐全</w:t>
            </w:r>
          </w:p>
        </w:tc>
        <w:tc>
          <w:tcPr>
            <w:tcW w:w="2268" w:type="dxa"/>
            <w:vAlign w:val="center"/>
          </w:tcPr>
          <w:p>
            <w:pPr>
              <w:pStyle w:val="18"/>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保障管理年限</w:t>
            </w:r>
          </w:p>
        </w:tc>
        <w:tc>
          <w:tcPr>
            <w:tcW w:w="2835" w:type="dxa"/>
            <w:vAlign w:val="center"/>
          </w:tcPr>
          <w:p>
            <w:pPr>
              <w:pStyle w:val="18"/>
            </w:pPr>
            <w:r>
              <w:t>保障管理年限</w:t>
            </w:r>
          </w:p>
        </w:tc>
        <w:tc>
          <w:tcPr>
            <w:tcW w:w="2551" w:type="dxa"/>
            <w:vAlign w:val="center"/>
          </w:tcPr>
          <w:p>
            <w:pPr>
              <w:pStyle w:val="18"/>
            </w:pPr>
            <w:r>
              <w:t>≥3年</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停放车辆单位满意度</w:t>
            </w:r>
          </w:p>
        </w:tc>
        <w:tc>
          <w:tcPr>
            <w:tcW w:w="2835" w:type="dxa"/>
            <w:vAlign w:val="center"/>
          </w:tcPr>
          <w:p>
            <w:pPr>
              <w:pStyle w:val="18"/>
            </w:pPr>
            <w:r>
              <w:t>停放车辆单位满意度</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31、无物业小区垃圾清扫清运清掏保洁经费绩效目标表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1.通过对45个无物业平房小区安排清扫、清运工作，解决多年来城区无物业平房小区无专人清扫保洁，环境卫生脏乱差等问题。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管理无物业小区数量</w:t>
            </w:r>
          </w:p>
        </w:tc>
        <w:tc>
          <w:tcPr>
            <w:tcW w:w="2835" w:type="dxa"/>
            <w:vAlign w:val="center"/>
          </w:tcPr>
          <w:p>
            <w:pPr>
              <w:pStyle w:val="18"/>
            </w:pPr>
            <w:r>
              <w:t>无物业小区进行日常清扫保洁、垃圾清运的数量</w:t>
            </w:r>
          </w:p>
        </w:tc>
        <w:tc>
          <w:tcPr>
            <w:tcW w:w="2551" w:type="dxa"/>
            <w:vAlign w:val="center"/>
          </w:tcPr>
          <w:p>
            <w:pPr>
              <w:pStyle w:val="18"/>
            </w:pPr>
            <w:r>
              <w:t>45个</w:t>
            </w:r>
          </w:p>
        </w:tc>
        <w:tc>
          <w:tcPr>
            <w:tcW w:w="2268" w:type="dxa"/>
            <w:vAlign w:val="center"/>
          </w:tcPr>
          <w:p>
            <w:pPr>
              <w:pStyle w:val="18"/>
            </w:pPr>
            <w:r>
              <w:t>请示文件和合同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无物业小区卫生达标率</w:t>
            </w:r>
          </w:p>
        </w:tc>
        <w:tc>
          <w:tcPr>
            <w:tcW w:w="2835" w:type="dxa"/>
            <w:vAlign w:val="center"/>
          </w:tcPr>
          <w:p>
            <w:pPr>
              <w:pStyle w:val="18"/>
            </w:pPr>
            <w:r>
              <w:t>项目的实施使无物业小区达到全国卫生县城的标准</w:t>
            </w:r>
          </w:p>
        </w:tc>
        <w:tc>
          <w:tcPr>
            <w:tcW w:w="2551" w:type="dxa"/>
            <w:vAlign w:val="center"/>
          </w:tcPr>
          <w:p>
            <w:pPr>
              <w:pStyle w:val="18"/>
            </w:pPr>
            <w:r>
              <w:t>100%</w:t>
            </w:r>
          </w:p>
        </w:tc>
        <w:tc>
          <w:tcPr>
            <w:tcW w:w="2268" w:type="dxa"/>
            <w:vAlign w:val="center"/>
          </w:tcPr>
          <w:p>
            <w:pPr>
              <w:pStyle w:val="18"/>
            </w:pPr>
            <w:r>
              <w:t>全国卫生县城的标准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无物业小区每天清洁清运运行时间</w:t>
            </w:r>
          </w:p>
        </w:tc>
        <w:tc>
          <w:tcPr>
            <w:tcW w:w="2835" w:type="dxa"/>
            <w:vAlign w:val="center"/>
          </w:tcPr>
          <w:p>
            <w:pPr>
              <w:pStyle w:val="18"/>
            </w:pPr>
            <w:r>
              <w:t>反映项目的实施保持无物业小区每天清洁清运运行时间</w:t>
            </w:r>
          </w:p>
        </w:tc>
        <w:tc>
          <w:tcPr>
            <w:tcW w:w="2551" w:type="dxa"/>
            <w:vAlign w:val="center"/>
          </w:tcPr>
          <w:p>
            <w:pPr>
              <w:pStyle w:val="18"/>
            </w:pPr>
            <w:r>
              <w:t>≥18小时</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每平米每年清扫成本</w:t>
            </w:r>
          </w:p>
        </w:tc>
        <w:tc>
          <w:tcPr>
            <w:tcW w:w="2835" w:type="dxa"/>
            <w:vAlign w:val="center"/>
          </w:tcPr>
          <w:p>
            <w:pPr>
              <w:pStyle w:val="18"/>
            </w:pPr>
            <w:r>
              <w:t>反映无物业小区每平米每年清扫成本情况</w:t>
            </w:r>
          </w:p>
        </w:tc>
        <w:tc>
          <w:tcPr>
            <w:tcW w:w="2551" w:type="dxa"/>
            <w:vAlign w:val="center"/>
          </w:tcPr>
          <w:p>
            <w:pPr>
              <w:pStyle w:val="18"/>
            </w:pPr>
            <w:r>
              <w:t>≤0.64元/平米/年</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住户投诉事件发生数</w:t>
            </w:r>
          </w:p>
        </w:tc>
        <w:tc>
          <w:tcPr>
            <w:tcW w:w="2835" w:type="dxa"/>
            <w:vAlign w:val="center"/>
          </w:tcPr>
          <w:p>
            <w:pPr>
              <w:pStyle w:val="18"/>
            </w:pPr>
            <w:r>
              <w:t>反映无物业小区住户因环境投诉发生的情况</w:t>
            </w:r>
          </w:p>
        </w:tc>
        <w:tc>
          <w:tcPr>
            <w:tcW w:w="2551" w:type="dxa"/>
            <w:vAlign w:val="center"/>
          </w:tcPr>
          <w:p>
            <w:pPr>
              <w:pStyle w:val="18"/>
            </w:pPr>
            <w:r>
              <w:t>&lt;1起</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清扫保洁清运的期限</w:t>
            </w:r>
          </w:p>
        </w:tc>
        <w:tc>
          <w:tcPr>
            <w:tcW w:w="2835" w:type="dxa"/>
            <w:vAlign w:val="center"/>
          </w:tcPr>
          <w:p>
            <w:pPr>
              <w:pStyle w:val="18"/>
            </w:pPr>
            <w:r>
              <w:t>对无物业小区清扫保洁清运的期限</w:t>
            </w:r>
          </w:p>
        </w:tc>
        <w:tc>
          <w:tcPr>
            <w:tcW w:w="2551" w:type="dxa"/>
            <w:vAlign w:val="center"/>
          </w:tcPr>
          <w:p>
            <w:pPr>
              <w:pStyle w:val="18"/>
            </w:pPr>
            <w:r>
              <w:t>≥1年</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居民满意度</w:t>
            </w:r>
          </w:p>
        </w:tc>
        <w:tc>
          <w:tcPr>
            <w:tcW w:w="2835" w:type="dxa"/>
            <w:vAlign w:val="center"/>
          </w:tcPr>
          <w:p>
            <w:pPr>
              <w:pStyle w:val="18"/>
            </w:pPr>
            <w:r>
              <w:t>无物业小区居民对环境卫生管理情况的满意程度</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32、新建东环公园管护经费绩效目标表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1.通过新建东环公园的环境日常维护，休息椅日常擦洗，生活垃圾的捡拾等，需要环卫工人按照公园环境卫生达到验收标准。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公园清扫清运每天运行时间</w:t>
            </w:r>
          </w:p>
        </w:tc>
        <w:tc>
          <w:tcPr>
            <w:tcW w:w="2835" w:type="dxa"/>
            <w:vAlign w:val="center"/>
          </w:tcPr>
          <w:p>
            <w:pPr>
              <w:pStyle w:val="18"/>
            </w:pPr>
            <w:r>
              <w:t>反映项目的实施保持公园清扫清运每天运行时间</w:t>
            </w:r>
          </w:p>
        </w:tc>
        <w:tc>
          <w:tcPr>
            <w:tcW w:w="2551" w:type="dxa"/>
            <w:vAlign w:val="center"/>
          </w:tcPr>
          <w:p>
            <w:pPr>
              <w:pStyle w:val="18"/>
            </w:pPr>
            <w:r>
              <w:t>≥18小时</w:t>
            </w:r>
          </w:p>
        </w:tc>
        <w:tc>
          <w:tcPr>
            <w:tcW w:w="2268"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清扫、清运达标率</w:t>
            </w:r>
          </w:p>
        </w:tc>
        <w:tc>
          <w:tcPr>
            <w:tcW w:w="2835" w:type="dxa"/>
            <w:vAlign w:val="center"/>
          </w:tcPr>
          <w:p>
            <w:pPr>
              <w:pStyle w:val="18"/>
            </w:pPr>
            <w:r>
              <w:t>反映东环公园清扫、清运达标情况</w:t>
            </w:r>
          </w:p>
        </w:tc>
        <w:tc>
          <w:tcPr>
            <w:tcW w:w="2551" w:type="dxa"/>
            <w:vAlign w:val="center"/>
          </w:tcPr>
          <w:p>
            <w:pPr>
              <w:pStyle w:val="18"/>
            </w:pPr>
            <w:r>
              <w:t>≥95%</w:t>
            </w:r>
          </w:p>
        </w:tc>
        <w:tc>
          <w:tcPr>
            <w:tcW w:w="2268" w:type="dxa"/>
            <w:vAlign w:val="center"/>
          </w:tcPr>
          <w:p>
            <w:pPr>
              <w:pStyle w:val="18"/>
            </w:pPr>
            <w:r>
              <w:t>全国文明卫生县城的标准等级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清运及时率</w:t>
            </w:r>
          </w:p>
        </w:tc>
        <w:tc>
          <w:tcPr>
            <w:tcW w:w="2835" w:type="dxa"/>
            <w:vAlign w:val="center"/>
          </w:tcPr>
          <w:p>
            <w:pPr>
              <w:pStyle w:val="18"/>
            </w:pPr>
            <w:r>
              <w:t>反映东环公园清扫、清运及时情况</w:t>
            </w:r>
          </w:p>
        </w:tc>
        <w:tc>
          <w:tcPr>
            <w:tcW w:w="2551" w:type="dxa"/>
            <w:vAlign w:val="center"/>
          </w:tcPr>
          <w:p>
            <w:pPr>
              <w:pStyle w:val="18"/>
            </w:pPr>
            <w:r>
              <w:t>100%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成本偏离率</w:t>
            </w:r>
          </w:p>
        </w:tc>
        <w:tc>
          <w:tcPr>
            <w:tcW w:w="2835" w:type="dxa"/>
            <w:vAlign w:val="center"/>
          </w:tcPr>
          <w:p>
            <w:pPr>
              <w:pStyle w:val="18"/>
            </w:pPr>
            <w:r>
              <w:t>项目成本偏离预算资金比率的绝对值</w:t>
            </w:r>
          </w:p>
        </w:tc>
        <w:tc>
          <w:tcPr>
            <w:tcW w:w="2551" w:type="dxa"/>
            <w:vAlign w:val="center"/>
          </w:tcPr>
          <w:p>
            <w:pPr>
              <w:pStyle w:val="18"/>
            </w:pPr>
            <w:r>
              <w:t>≤10%</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因公园环境卫生月投诉次数</w:t>
            </w:r>
          </w:p>
        </w:tc>
        <w:tc>
          <w:tcPr>
            <w:tcW w:w="2835" w:type="dxa"/>
            <w:vAlign w:val="center"/>
          </w:tcPr>
          <w:p>
            <w:pPr>
              <w:pStyle w:val="18"/>
            </w:pPr>
            <w:r>
              <w:t>对公园环境卫生情况的月投诉总次数</w:t>
            </w:r>
          </w:p>
        </w:tc>
        <w:tc>
          <w:tcPr>
            <w:tcW w:w="2551" w:type="dxa"/>
            <w:vAlign w:val="center"/>
          </w:tcPr>
          <w:p>
            <w:pPr>
              <w:pStyle w:val="18"/>
            </w:pPr>
            <w:r>
              <w:t>≤1次</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2022年该项目运行持续时间</w:t>
            </w:r>
          </w:p>
        </w:tc>
        <w:tc>
          <w:tcPr>
            <w:tcW w:w="2835" w:type="dxa"/>
            <w:vAlign w:val="center"/>
          </w:tcPr>
          <w:p>
            <w:pPr>
              <w:pStyle w:val="18"/>
            </w:pPr>
            <w:r>
              <w:t>2022年该项目运行持续年限</w:t>
            </w:r>
          </w:p>
        </w:tc>
        <w:tc>
          <w:tcPr>
            <w:tcW w:w="2551" w:type="dxa"/>
            <w:vAlign w:val="center"/>
          </w:tcPr>
          <w:p>
            <w:pPr>
              <w:pStyle w:val="18"/>
            </w:pPr>
            <w:r>
              <w:t>≥1年</w:t>
            </w:r>
          </w:p>
        </w:tc>
        <w:tc>
          <w:tcPr>
            <w:tcW w:w="2268" w:type="dxa"/>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城区群众满意度</w:t>
            </w:r>
          </w:p>
        </w:tc>
        <w:tc>
          <w:tcPr>
            <w:tcW w:w="2835" w:type="dxa"/>
            <w:vAlign w:val="center"/>
          </w:tcPr>
          <w:p>
            <w:pPr>
              <w:pStyle w:val="18"/>
            </w:pPr>
            <w:r>
              <w:t>城区群众对街道卫生管理情况的满意程度</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33、影斜路路灯改造工程绩效目标表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1.通过对13颗影斜路路灯进行改造，进一步推进城乡综合整治提升工作，提升我县城区整体环境。</w:t>
            </w:r>
            <w:r>
              <w:tab/>
            </w:r>
            <w:r>
              <w:tab/>
            </w:r>
            <w:r>
              <w:tab/>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改造路灯数量</w:t>
            </w:r>
          </w:p>
        </w:tc>
        <w:tc>
          <w:tcPr>
            <w:tcW w:w="2835" w:type="dxa"/>
            <w:vAlign w:val="center"/>
          </w:tcPr>
          <w:p>
            <w:pPr>
              <w:pStyle w:val="18"/>
            </w:pPr>
            <w:r>
              <w:t>改造路灯数量</w:t>
            </w:r>
          </w:p>
        </w:tc>
        <w:tc>
          <w:tcPr>
            <w:tcW w:w="2551" w:type="dxa"/>
            <w:vAlign w:val="center"/>
          </w:tcPr>
          <w:p>
            <w:pPr>
              <w:pStyle w:val="18"/>
            </w:pPr>
            <w:r>
              <w:t>13颗</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改造验收合格率</w:t>
            </w:r>
          </w:p>
        </w:tc>
        <w:tc>
          <w:tcPr>
            <w:tcW w:w="2551" w:type="dxa"/>
            <w:vAlign w:val="center"/>
          </w:tcPr>
          <w:p>
            <w:pPr>
              <w:pStyle w:val="18"/>
            </w:pPr>
            <w:r>
              <w:t>100%</w:t>
            </w:r>
          </w:p>
        </w:tc>
        <w:tc>
          <w:tcPr>
            <w:tcW w:w="2268" w:type="dxa"/>
            <w:vAlign w:val="center"/>
          </w:tcPr>
          <w:p>
            <w:pPr>
              <w:pStyle w:val="18"/>
            </w:pPr>
            <w:r>
              <w:t>产品合格证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资金支出及时性</w:t>
            </w:r>
          </w:p>
        </w:tc>
        <w:tc>
          <w:tcPr>
            <w:tcW w:w="2835" w:type="dxa"/>
            <w:vAlign w:val="center"/>
          </w:tcPr>
          <w:p>
            <w:pPr>
              <w:pStyle w:val="18"/>
            </w:pPr>
            <w:r>
              <w:t>按约定及时支付款项</w:t>
            </w:r>
          </w:p>
        </w:tc>
        <w:tc>
          <w:tcPr>
            <w:tcW w:w="2551" w:type="dxa"/>
            <w:vAlign w:val="center"/>
          </w:tcPr>
          <w:p>
            <w:pPr>
              <w:pStyle w:val="18"/>
            </w:pPr>
            <w:r>
              <w:t>≤10月</w:t>
            </w: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改造影斜路灯单位成本</w:t>
            </w:r>
          </w:p>
        </w:tc>
        <w:tc>
          <w:tcPr>
            <w:tcW w:w="2835" w:type="dxa"/>
            <w:vAlign w:val="center"/>
          </w:tcPr>
          <w:p>
            <w:pPr>
              <w:pStyle w:val="18"/>
            </w:pPr>
            <w:r>
              <w:t>改造影斜路灯单位成本</w:t>
            </w:r>
          </w:p>
        </w:tc>
        <w:tc>
          <w:tcPr>
            <w:tcW w:w="2551" w:type="dxa"/>
            <w:vAlign w:val="center"/>
          </w:tcPr>
          <w:p>
            <w:pPr>
              <w:pStyle w:val="18"/>
            </w:pPr>
            <w:r>
              <w:t>≤0.69万元</w:t>
            </w:r>
          </w:p>
        </w:tc>
        <w:tc>
          <w:tcPr>
            <w:tcW w:w="2268" w:type="dxa"/>
            <w:vAlign w:val="center"/>
          </w:tcPr>
          <w:p>
            <w:pPr>
              <w:pStyle w:val="18"/>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影斜路灯亮灯率</w:t>
            </w:r>
          </w:p>
        </w:tc>
        <w:tc>
          <w:tcPr>
            <w:tcW w:w="2835" w:type="dxa"/>
            <w:vAlign w:val="center"/>
          </w:tcPr>
          <w:p>
            <w:pPr>
              <w:pStyle w:val="18"/>
            </w:pPr>
            <w:r>
              <w:t>县城区路灯亮化效果</w:t>
            </w:r>
          </w:p>
        </w:tc>
        <w:tc>
          <w:tcPr>
            <w:tcW w:w="2551" w:type="dxa"/>
            <w:vAlign w:val="center"/>
          </w:tcPr>
          <w:p>
            <w:pPr>
              <w:pStyle w:val="18"/>
            </w:pPr>
            <w:r>
              <w:t>100%</w:t>
            </w:r>
          </w:p>
        </w:tc>
        <w:tc>
          <w:tcPr>
            <w:tcW w:w="2268" w:type="dxa"/>
            <w:vAlign w:val="center"/>
          </w:tcPr>
          <w:p>
            <w:pPr>
              <w:pStyle w:val="18"/>
            </w:pPr>
            <w:r>
              <w:t>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维持使用年限</w:t>
            </w:r>
          </w:p>
        </w:tc>
        <w:tc>
          <w:tcPr>
            <w:tcW w:w="2835" w:type="dxa"/>
            <w:vAlign w:val="center"/>
          </w:tcPr>
          <w:p>
            <w:pPr>
              <w:pStyle w:val="18"/>
            </w:pPr>
            <w:r>
              <w:t>影斜路灯改造后使用年限</w:t>
            </w:r>
          </w:p>
        </w:tc>
        <w:tc>
          <w:tcPr>
            <w:tcW w:w="2551" w:type="dxa"/>
            <w:vAlign w:val="center"/>
          </w:tcPr>
          <w:p>
            <w:pPr>
              <w:pStyle w:val="18"/>
            </w:pPr>
            <w:r>
              <w:t>≥10年</w:t>
            </w:r>
          </w:p>
        </w:tc>
        <w:tc>
          <w:tcPr>
            <w:tcW w:w="2268" w:type="dxa"/>
            <w:vAlign w:val="center"/>
          </w:tcPr>
          <w:p>
            <w:pPr>
              <w:pStyle w:val="18"/>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2835" w:type="dxa"/>
            <w:vAlign w:val="center"/>
          </w:tcPr>
          <w:p>
            <w:pPr>
              <w:pStyle w:val="18"/>
            </w:pPr>
            <w:r>
              <w:t>周边群众对其效果的满意度</w:t>
            </w:r>
          </w:p>
        </w:tc>
        <w:tc>
          <w:tcPr>
            <w:tcW w:w="2551" w:type="dxa"/>
            <w:vAlign w:val="center"/>
          </w:tcPr>
          <w:p>
            <w:pPr>
              <w:pStyle w:val="18"/>
            </w:pPr>
            <w:r>
              <w:t>≥95%</w:t>
            </w:r>
          </w:p>
        </w:tc>
        <w:tc>
          <w:tcPr>
            <w:tcW w:w="2268" w:type="dxa"/>
            <w:vAlign w:val="center"/>
          </w:tcPr>
          <w:p>
            <w:pPr>
              <w:pStyle w:val="18"/>
            </w:pPr>
            <w:r>
              <w:t>群众满意度调查问卷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00" w:lineRule="exact"/>
        <w:ind w:firstLine="560"/>
      </w:pPr>
      <w:bookmarkStart w:id="0" w:name="_Toc471398468"/>
      <w:r>
        <w:rPr>
          <w:rFonts w:ascii="Times New Roman" w:hAnsi="Times New Roman" w:eastAsia="方正仿宋_GBK" w:cs="Times New Roman"/>
          <w:color w:val="000000"/>
          <w:sz w:val="28"/>
        </w:rPr>
        <w:t>2022年，大厂回族自治县城市管理综合行政执法局安排政府采购预算1226</w:t>
      </w:r>
      <w:r>
        <w:rPr>
          <w:rFonts w:hint="eastAsia" w:ascii="Times New Roman" w:hAnsi="Times New Roman" w:eastAsia="方正仿宋_GBK" w:cs="Times New Roman"/>
          <w:color w:val="000000"/>
          <w:sz w:val="28"/>
          <w:lang w:val="en-US" w:eastAsia="zh-CN"/>
        </w:rPr>
        <w:t>.5万</w:t>
      </w:r>
      <w:r>
        <w:rPr>
          <w:rFonts w:ascii="Times New Roman" w:hAnsi="Times New Roman" w:eastAsia="方正仿宋_GBK" w:cs="Times New Roman"/>
          <w:color w:val="000000"/>
          <w:sz w:val="28"/>
        </w:rPr>
        <w:t>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338大厂回族自治县城市管理综合行政执法局</w:t>
            </w:r>
          </w:p>
        </w:tc>
        <w:tc>
          <w:tcPr>
            <w:tcW w:w="8674" w:type="dxa"/>
            <w:gridSpan w:val="9"/>
            <w:tcBorders>
              <w:top w:val="single" w:color="FFFFFF" w:sz="6" w:space="0"/>
              <w:left w:val="single" w:color="FFFFFF" w:sz="6" w:space="0"/>
              <w:right w:val="single" w:color="FFFFFF" w:sz="6" w:space="0"/>
            </w:tcBorders>
            <w:vAlign w:val="center"/>
          </w:tcPr>
          <w:p>
            <w:pPr>
              <w:pStyle w:val="30"/>
            </w:pPr>
            <w:r>
              <w:t>单位：</w:t>
            </w:r>
            <w:r>
              <w:rPr>
                <w:rFonts w:hint="eastAsia"/>
                <w:lang w:val="en-US"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0" w:type="dxa"/>
            <w:gridSpan w:val="8"/>
            <w:vAlign w:val="center"/>
          </w:tcPr>
          <w:p>
            <w:pPr>
              <w:pStyle w:val="16"/>
            </w:pPr>
            <w:r>
              <w:t>政府采购金额（当年部门预算安排资金）</w:t>
            </w:r>
          </w:p>
        </w:tc>
        <w:tc>
          <w:tcPr>
            <w:tcW w:w="964"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rPr>
                <w:rFonts w:hint="default" w:eastAsia="方正书宋_GBK"/>
                <w:lang w:val="en-US" w:eastAsia="zh-CN"/>
              </w:rPr>
            </w:pPr>
            <w:r>
              <w:t>1226</w:t>
            </w:r>
            <w:r>
              <w:rPr>
                <w:rFonts w:hint="eastAsia"/>
                <w:lang w:val="en-US" w:eastAsia="zh-CN"/>
              </w:rPr>
              <w:t>.5</w:t>
            </w:r>
          </w:p>
        </w:tc>
        <w:tc>
          <w:tcPr>
            <w:tcW w:w="964" w:type="dxa"/>
            <w:vAlign w:val="center"/>
          </w:tcPr>
          <w:p>
            <w:pPr>
              <w:pStyle w:val="21"/>
            </w:pPr>
            <w:r>
              <w:t>331</w:t>
            </w:r>
            <w:r>
              <w:rPr>
                <w:rFonts w:hint="eastAsia"/>
                <w:lang w:val="en-US" w:eastAsia="zh-CN"/>
              </w:rPr>
              <w:t>.</w:t>
            </w:r>
            <w:r>
              <w:t>05</w:t>
            </w:r>
          </w:p>
        </w:tc>
        <w:tc>
          <w:tcPr>
            <w:tcW w:w="964" w:type="dxa"/>
            <w:vAlign w:val="center"/>
          </w:tcPr>
          <w:p>
            <w:pPr>
              <w:pStyle w:val="21"/>
            </w:pPr>
            <w:r>
              <w:t>895</w:t>
            </w:r>
            <w:r>
              <w:rPr>
                <w:rFonts w:hint="eastAsia"/>
                <w:lang w:val="en-US" w:eastAsia="zh-CN"/>
              </w:rPr>
              <w:t>.</w:t>
            </w:r>
            <w:r>
              <w:t>45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851</w:t>
            </w:r>
            <w:r>
              <w:rPr>
                <w:rFonts w:hint="eastAsia"/>
                <w:lang w:val="en-US" w:eastAsia="zh-CN"/>
              </w:rPr>
              <w:t>.</w:t>
            </w:r>
            <w: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大厂回族自治县城市管理行政执法局小计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1226</w:t>
            </w:r>
            <w:r>
              <w:rPr>
                <w:rFonts w:hint="eastAsia"/>
                <w:lang w:val="en-US" w:eastAsia="zh-CN"/>
              </w:rPr>
              <w:t>.</w:t>
            </w:r>
            <w:r>
              <w:t>5</w:t>
            </w:r>
          </w:p>
        </w:tc>
        <w:tc>
          <w:tcPr>
            <w:tcW w:w="964" w:type="dxa"/>
            <w:vAlign w:val="center"/>
          </w:tcPr>
          <w:p>
            <w:pPr>
              <w:pStyle w:val="21"/>
            </w:pPr>
            <w:r>
              <w:t>331</w:t>
            </w:r>
            <w:r>
              <w:rPr>
                <w:rFonts w:hint="eastAsia"/>
                <w:lang w:val="en-US" w:eastAsia="zh-CN"/>
              </w:rPr>
              <w:t>.</w:t>
            </w:r>
            <w:r>
              <w:t>05</w:t>
            </w:r>
          </w:p>
        </w:tc>
        <w:tc>
          <w:tcPr>
            <w:tcW w:w="964" w:type="dxa"/>
            <w:vAlign w:val="center"/>
          </w:tcPr>
          <w:p>
            <w:pPr>
              <w:pStyle w:val="21"/>
            </w:pPr>
            <w:r>
              <w:t>895</w:t>
            </w:r>
            <w:r>
              <w:rPr>
                <w:rFonts w:hint="eastAsia"/>
                <w:lang w:val="en-US" w:eastAsia="zh-CN"/>
              </w:rPr>
              <w:t>.</w:t>
            </w:r>
            <w:r>
              <w:t>45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851</w:t>
            </w:r>
            <w:r>
              <w:rPr>
                <w:rFonts w:hint="eastAsia"/>
                <w:lang w:val="en-US" w:eastAsia="zh-CN"/>
              </w:rPr>
              <w:t>.</w:t>
            </w:r>
            <w: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市政公共管理费</w:t>
            </w:r>
          </w:p>
        </w:tc>
        <w:tc>
          <w:tcPr>
            <w:tcW w:w="964" w:type="dxa"/>
            <w:vAlign w:val="center"/>
          </w:tcPr>
          <w:p>
            <w:pPr>
              <w:pStyle w:val="17"/>
            </w:pPr>
            <w:r>
              <w:t>236</w:t>
            </w:r>
            <w:r>
              <w:rPr>
                <w:rFonts w:hint="eastAsia"/>
                <w:lang w:val="en-US" w:eastAsia="zh-CN"/>
              </w:rPr>
              <w:t>.</w:t>
            </w:r>
            <w:r>
              <w:t>5</w:t>
            </w:r>
          </w:p>
        </w:tc>
        <w:tc>
          <w:tcPr>
            <w:tcW w:w="1134" w:type="dxa"/>
            <w:vAlign w:val="center"/>
          </w:tcPr>
          <w:p>
            <w:pPr>
              <w:pStyle w:val="18"/>
            </w:pPr>
            <w:r>
              <w:t>其他服务</w:t>
            </w:r>
          </w:p>
        </w:tc>
        <w:tc>
          <w:tcPr>
            <w:tcW w:w="1134" w:type="dxa"/>
            <w:vAlign w:val="center"/>
          </w:tcPr>
          <w:p>
            <w:pPr>
              <w:pStyle w:val="18"/>
            </w:pPr>
            <w:r>
              <w:t>C99</w:t>
            </w:r>
          </w:p>
        </w:tc>
        <w:tc>
          <w:tcPr>
            <w:tcW w:w="709" w:type="dxa"/>
            <w:vAlign w:val="center"/>
          </w:tcPr>
          <w:p>
            <w:pPr>
              <w:pStyle w:val="19"/>
            </w:pPr>
            <w:r>
              <w:rPr>
                <w:rFonts w:hint="eastAsia"/>
                <w:lang w:val="en-US" w:eastAsia="zh-CN"/>
              </w:rPr>
              <w:t>万</w:t>
            </w:r>
            <w:r>
              <w:t>元</w:t>
            </w:r>
          </w:p>
        </w:tc>
        <w:tc>
          <w:tcPr>
            <w:tcW w:w="850" w:type="dxa"/>
            <w:vAlign w:val="center"/>
          </w:tcPr>
          <w:p>
            <w:pPr>
              <w:pStyle w:val="17"/>
            </w:pPr>
            <w:r>
              <w:t>1</w:t>
            </w:r>
          </w:p>
        </w:tc>
        <w:tc>
          <w:tcPr>
            <w:tcW w:w="850" w:type="dxa"/>
            <w:vAlign w:val="center"/>
          </w:tcPr>
          <w:p>
            <w:pPr>
              <w:pStyle w:val="17"/>
            </w:pPr>
            <w:r>
              <w:t>236</w:t>
            </w:r>
            <w:r>
              <w:rPr>
                <w:rFonts w:hint="eastAsia"/>
                <w:lang w:val="en-US" w:eastAsia="zh-CN"/>
              </w:rPr>
              <w:t>.</w:t>
            </w:r>
            <w:r>
              <w:t>5</w:t>
            </w:r>
          </w:p>
        </w:tc>
        <w:tc>
          <w:tcPr>
            <w:tcW w:w="964" w:type="dxa"/>
            <w:vAlign w:val="center"/>
          </w:tcPr>
          <w:p>
            <w:pPr>
              <w:pStyle w:val="17"/>
            </w:pPr>
            <w:r>
              <w:t>236</w:t>
            </w:r>
            <w:r>
              <w:rPr>
                <w:rFonts w:hint="eastAsia"/>
                <w:lang w:val="en-US" w:eastAsia="zh-CN"/>
              </w:rPr>
              <w:t>.</w:t>
            </w:r>
            <w:r>
              <w:t>5</w:t>
            </w:r>
          </w:p>
        </w:tc>
        <w:tc>
          <w:tcPr>
            <w:tcW w:w="964" w:type="dxa"/>
            <w:vAlign w:val="center"/>
          </w:tcPr>
          <w:p>
            <w:pPr>
              <w:pStyle w:val="17"/>
            </w:pPr>
            <w:r>
              <w:t>236</w:t>
            </w:r>
            <w:r>
              <w:rPr>
                <w:rFonts w:hint="eastAsia"/>
                <w:lang w:val="en-US" w:eastAsia="zh-CN"/>
              </w:rPr>
              <w:t>.</w:t>
            </w:r>
            <w:r>
              <w:t>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141</w:t>
            </w:r>
            <w:r>
              <w:rPr>
                <w:rFonts w:hint="eastAsia"/>
                <w:lang w:val="en-US" w:eastAsia="zh-CN"/>
              </w:rPr>
              <w:t>.</w:t>
            </w:r>
            <w: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大厂县四辆大气污染防治专用车运营服务采购项目</w:t>
            </w:r>
          </w:p>
        </w:tc>
        <w:tc>
          <w:tcPr>
            <w:tcW w:w="964" w:type="dxa"/>
            <w:vAlign w:val="center"/>
          </w:tcPr>
          <w:p>
            <w:pPr>
              <w:pStyle w:val="17"/>
            </w:pPr>
            <w:r>
              <w:t>195</w:t>
            </w:r>
            <w:r>
              <w:rPr>
                <w:rFonts w:hint="eastAsia"/>
                <w:lang w:val="en-US" w:eastAsia="zh-CN"/>
              </w:rPr>
              <w:t>.</w:t>
            </w:r>
            <w:r>
              <w:t>45</w:t>
            </w:r>
          </w:p>
        </w:tc>
        <w:tc>
          <w:tcPr>
            <w:tcW w:w="1134" w:type="dxa"/>
            <w:vAlign w:val="center"/>
          </w:tcPr>
          <w:p>
            <w:pPr>
              <w:pStyle w:val="18"/>
            </w:pPr>
            <w:r>
              <w:t>车辆及其他运输机械租赁服务</w:t>
            </w:r>
          </w:p>
        </w:tc>
        <w:tc>
          <w:tcPr>
            <w:tcW w:w="1134" w:type="dxa"/>
            <w:vAlign w:val="center"/>
          </w:tcPr>
          <w:p>
            <w:pPr>
              <w:pStyle w:val="18"/>
            </w:pPr>
            <w:r>
              <w:t>C0403</w:t>
            </w:r>
          </w:p>
        </w:tc>
        <w:tc>
          <w:tcPr>
            <w:tcW w:w="709" w:type="dxa"/>
            <w:vAlign w:val="center"/>
          </w:tcPr>
          <w:p>
            <w:pPr>
              <w:pStyle w:val="19"/>
            </w:pPr>
            <w:r>
              <w:rPr>
                <w:rFonts w:hint="eastAsia"/>
                <w:lang w:val="en-US" w:eastAsia="zh-CN"/>
              </w:rPr>
              <w:t>万</w:t>
            </w:r>
            <w:r>
              <w:t>元</w:t>
            </w:r>
          </w:p>
        </w:tc>
        <w:tc>
          <w:tcPr>
            <w:tcW w:w="850" w:type="dxa"/>
            <w:vAlign w:val="center"/>
          </w:tcPr>
          <w:p>
            <w:pPr>
              <w:pStyle w:val="17"/>
            </w:pPr>
            <w:r>
              <w:t>1</w:t>
            </w:r>
          </w:p>
        </w:tc>
        <w:tc>
          <w:tcPr>
            <w:tcW w:w="850" w:type="dxa"/>
            <w:vAlign w:val="center"/>
          </w:tcPr>
          <w:p>
            <w:pPr>
              <w:pStyle w:val="17"/>
            </w:pPr>
            <w:r>
              <w:t>195</w:t>
            </w:r>
            <w:r>
              <w:rPr>
                <w:rFonts w:hint="eastAsia"/>
                <w:lang w:val="en-US" w:eastAsia="zh-CN"/>
              </w:rPr>
              <w:t>.</w:t>
            </w:r>
            <w:r>
              <w:t>45</w:t>
            </w:r>
          </w:p>
        </w:tc>
        <w:tc>
          <w:tcPr>
            <w:tcW w:w="964" w:type="dxa"/>
            <w:vAlign w:val="center"/>
          </w:tcPr>
          <w:p>
            <w:pPr>
              <w:pStyle w:val="17"/>
            </w:pPr>
            <w:r>
              <w:t>195</w:t>
            </w:r>
            <w:r>
              <w:rPr>
                <w:rFonts w:hint="eastAsia"/>
                <w:lang w:val="en-US" w:eastAsia="zh-CN"/>
              </w:rPr>
              <w:t>.</w:t>
            </w:r>
            <w:r>
              <w:t>45</w:t>
            </w:r>
          </w:p>
        </w:tc>
        <w:tc>
          <w:tcPr>
            <w:tcW w:w="964" w:type="dxa"/>
            <w:vAlign w:val="center"/>
          </w:tcPr>
          <w:p>
            <w:pPr>
              <w:pStyle w:val="17"/>
            </w:pPr>
          </w:p>
        </w:tc>
        <w:tc>
          <w:tcPr>
            <w:tcW w:w="964" w:type="dxa"/>
            <w:vAlign w:val="center"/>
          </w:tcPr>
          <w:p>
            <w:pPr>
              <w:pStyle w:val="17"/>
            </w:pPr>
            <w:r>
              <w:t>195</w:t>
            </w:r>
            <w:r>
              <w:rPr>
                <w:rFonts w:hint="eastAsia"/>
                <w:lang w:val="en-US" w:eastAsia="zh-CN"/>
              </w:rPr>
              <w:t>.</w:t>
            </w:r>
            <w:r>
              <w:t>45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195</w:t>
            </w:r>
            <w:r>
              <w:rPr>
                <w:rFonts w:hint="eastAsia"/>
                <w:lang w:val="en-US" w:eastAsia="zh-CN"/>
              </w:rPr>
              <w:t>.</w:t>
            </w:r>
            <w: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大厂县四辆大气污染防治专用车运营服务采购项目</w:t>
            </w:r>
          </w:p>
        </w:tc>
        <w:tc>
          <w:tcPr>
            <w:tcW w:w="964" w:type="dxa"/>
            <w:vAlign w:val="center"/>
          </w:tcPr>
          <w:p>
            <w:pPr>
              <w:pStyle w:val="17"/>
            </w:pPr>
            <w:r>
              <w:t>94</w:t>
            </w:r>
            <w:r>
              <w:rPr>
                <w:rFonts w:hint="eastAsia"/>
                <w:lang w:val="en-US" w:eastAsia="zh-CN"/>
              </w:rPr>
              <w:t>.</w:t>
            </w:r>
            <w:r>
              <w:t>55</w:t>
            </w:r>
          </w:p>
        </w:tc>
        <w:tc>
          <w:tcPr>
            <w:tcW w:w="1134" w:type="dxa"/>
            <w:vAlign w:val="center"/>
          </w:tcPr>
          <w:p>
            <w:pPr>
              <w:pStyle w:val="18"/>
            </w:pPr>
            <w:r>
              <w:t>车辆及其他运输机械租赁服务</w:t>
            </w:r>
          </w:p>
        </w:tc>
        <w:tc>
          <w:tcPr>
            <w:tcW w:w="1134" w:type="dxa"/>
            <w:vAlign w:val="center"/>
          </w:tcPr>
          <w:p>
            <w:pPr>
              <w:pStyle w:val="18"/>
            </w:pPr>
            <w:r>
              <w:t>C0403</w:t>
            </w:r>
          </w:p>
        </w:tc>
        <w:tc>
          <w:tcPr>
            <w:tcW w:w="709" w:type="dxa"/>
            <w:vAlign w:val="center"/>
          </w:tcPr>
          <w:p>
            <w:pPr>
              <w:pStyle w:val="19"/>
            </w:pPr>
            <w:r>
              <w:rPr>
                <w:rFonts w:hint="eastAsia"/>
                <w:lang w:val="en-US" w:eastAsia="zh-CN"/>
              </w:rPr>
              <w:t>万</w:t>
            </w:r>
            <w:r>
              <w:t>元</w:t>
            </w:r>
          </w:p>
        </w:tc>
        <w:tc>
          <w:tcPr>
            <w:tcW w:w="850" w:type="dxa"/>
            <w:vAlign w:val="center"/>
          </w:tcPr>
          <w:p>
            <w:pPr>
              <w:pStyle w:val="17"/>
            </w:pPr>
            <w:r>
              <w:t>1</w:t>
            </w:r>
          </w:p>
        </w:tc>
        <w:tc>
          <w:tcPr>
            <w:tcW w:w="850" w:type="dxa"/>
            <w:vAlign w:val="center"/>
          </w:tcPr>
          <w:p>
            <w:pPr>
              <w:pStyle w:val="17"/>
            </w:pPr>
            <w:r>
              <w:t>94</w:t>
            </w:r>
            <w:r>
              <w:rPr>
                <w:rFonts w:hint="eastAsia"/>
                <w:lang w:val="en-US" w:eastAsia="zh-CN"/>
              </w:rPr>
              <w:t>.</w:t>
            </w:r>
            <w:r>
              <w:t>55</w:t>
            </w:r>
          </w:p>
        </w:tc>
        <w:tc>
          <w:tcPr>
            <w:tcW w:w="964" w:type="dxa"/>
            <w:vAlign w:val="center"/>
          </w:tcPr>
          <w:p>
            <w:pPr>
              <w:pStyle w:val="17"/>
            </w:pPr>
            <w:r>
              <w:t>94</w:t>
            </w:r>
            <w:r>
              <w:rPr>
                <w:rFonts w:hint="eastAsia"/>
                <w:lang w:val="en-US" w:eastAsia="zh-CN"/>
              </w:rPr>
              <w:t>.</w:t>
            </w:r>
            <w:r>
              <w:t>55</w:t>
            </w:r>
          </w:p>
        </w:tc>
        <w:tc>
          <w:tcPr>
            <w:tcW w:w="964" w:type="dxa"/>
            <w:vAlign w:val="center"/>
          </w:tcPr>
          <w:p>
            <w:pPr>
              <w:pStyle w:val="17"/>
            </w:pPr>
            <w:r>
              <w:t>94</w:t>
            </w:r>
            <w:r>
              <w:rPr>
                <w:rFonts w:hint="eastAsia"/>
                <w:lang w:val="en-US" w:eastAsia="zh-CN"/>
              </w:rPr>
              <w:t>.</w:t>
            </w:r>
            <w:r>
              <w:t>55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94</w:t>
            </w:r>
            <w:r>
              <w:rPr>
                <w:rFonts w:hint="eastAsia"/>
                <w:lang w:val="en-US" w:eastAsia="zh-CN"/>
              </w:rPr>
              <w:t>.</w:t>
            </w:r>
            <w: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对城中五村、农贸市场等清扫保洁项目资金</w:t>
            </w:r>
          </w:p>
        </w:tc>
        <w:tc>
          <w:tcPr>
            <w:tcW w:w="964" w:type="dxa"/>
            <w:vAlign w:val="center"/>
          </w:tcPr>
          <w:p>
            <w:pPr>
              <w:pStyle w:val="17"/>
            </w:pPr>
            <w:r>
              <w:t>700</w:t>
            </w:r>
          </w:p>
        </w:tc>
        <w:tc>
          <w:tcPr>
            <w:tcW w:w="1134" w:type="dxa"/>
            <w:vAlign w:val="center"/>
          </w:tcPr>
          <w:p>
            <w:pPr>
              <w:pStyle w:val="18"/>
            </w:pPr>
            <w:r>
              <w:t>其他服务</w:t>
            </w:r>
          </w:p>
        </w:tc>
        <w:tc>
          <w:tcPr>
            <w:tcW w:w="1134" w:type="dxa"/>
            <w:vAlign w:val="center"/>
          </w:tcPr>
          <w:p>
            <w:pPr>
              <w:pStyle w:val="18"/>
            </w:pPr>
            <w:r>
              <w:t>C99</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700</w:t>
            </w:r>
          </w:p>
        </w:tc>
        <w:tc>
          <w:tcPr>
            <w:tcW w:w="964" w:type="dxa"/>
            <w:vAlign w:val="center"/>
          </w:tcPr>
          <w:p>
            <w:pPr>
              <w:pStyle w:val="17"/>
            </w:pPr>
            <w:r>
              <w:t>700</w:t>
            </w:r>
          </w:p>
        </w:tc>
        <w:tc>
          <w:tcPr>
            <w:tcW w:w="964" w:type="dxa"/>
            <w:vAlign w:val="center"/>
          </w:tcPr>
          <w:p>
            <w:pPr>
              <w:pStyle w:val="17"/>
            </w:pPr>
          </w:p>
        </w:tc>
        <w:tc>
          <w:tcPr>
            <w:tcW w:w="964" w:type="dxa"/>
            <w:vAlign w:val="center"/>
          </w:tcPr>
          <w:p>
            <w:pPr>
              <w:pStyle w:val="17"/>
            </w:pPr>
            <w:r>
              <w:t>700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420</w:t>
            </w:r>
          </w:p>
        </w:tc>
      </w:tr>
      <w:bookmarkEnd w:id="0"/>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注:同一采购目录序号的物品,其单价会因配置规格不同而变动,均符合配置标准.涉密采购事项按照相关规定执行.</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大厂回族自治县城市管理综合行政执法局</w:t>
      </w:r>
      <w:r>
        <w:rPr>
          <w:rFonts w:ascii="仿宋" w:hAnsi="仿宋" w:eastAsia="仿宋" w:cs="Times New Roman"/>
          <w:sz w:val="32"/>
          <w:szCs w:val="32"/>
        </w:rPr>
        <w:t>上年末固定资产金额为</w:t>
      </w:r>
      <w:r>
        <w:rPr>
          <w:rFonts w:hint="eastAsia" w:ascii="仿宋" w:hAnsi="仿宋" w:eastAsia="仿宋" w:cs="Times New Roman"/>
          <w:sz w:val="32"/>
          <w:szCs w:val="32"/>
        </w:rPr>
        <w:t>3998.48</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w:t>
      </w:r>
      <w:r>
        <w:rPr>
          <w:rFonts w:hint="eastAsia" w:ascii="仿宋" w:hAnsi="仿宋" w:eastAsia="仿宋" w:cs="Times New Roman"/>
          <w:sz w:val="32"/>
          <w:szCs w:val="32"/>
        </w:rPr>
        <w:t>单位无</w:t>
      </w:r>
      <w:r>
        <w:rPr>
          <w:rFonts w:ascii="仿宋" w:hAnsi="仿宋" w:eastAsia="仿宋" w:cs="Times New Roman"/>
          <w:sz w:val="32"/>
          <w:szCs w:val="32"/>
        </w:rPr>
        <w:t>拟购置固定资产。</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 xml:space="preserve">大厂回族自治县城市管理综合行政执法局      </w:t>
            </w:r>
          </w:p>
        </w:tc>
        <w:tc>
          <w:tcPr>
            <w:tcW w:w="5103" w:type="dxa"/>
            <w:tcBorders>
              <w:top w:val="nil"/>
              <w:left w:val="nil"/>
              <w:bottom w:val="nil"/>
              <w:right w:val="nil"/>
            </w:tcBorders>
            <w:shd w:val="clear" w:color="auto" w:fill="auto"/>
            <w:noWrap/>
            <w:vAlign w:val="center"/>
          </w:tcPr>
          <w:p>
            <w:pPr>
              <w:widowControl/>
              <w:spacing w:line="584" w:lineRule="exact"/>
              <w:ind w:firstLine="1980" w:firstLineChars="9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3998.48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1492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1492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 w:hAnsi="仿宋" w:eastAsia="仿宋" w:cs="Times New Roman"/>
                <w:sz w:val="24"/>
              </w:rPr>
            </w:pPr>
            <w:r>
              <w:rPr>
                <w:rFonts w:hint="eastAsia" w:ascii="仿宋" w:hAnsi="仿宋" w:eastAsia="仿宋" w:cs="Times New Roman"/>
                <w:sz w:val="24"/>
              </w:rPr>
              <w:t>112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 w:hAnsi="仿宋" w:eastAsia="仿宋" w:cs="Times New Roman"/>
                <w:sz w:val="24"/>
              </w:rPr>
            </w:pPr>
            <w:r>
              <w:rPr>
                <w:rFonts w:hint="eastAsia" w:ascii="仿宋" w:hAnsi="仿宋" w:eastAsia="仿宋" w:cs="Times New Roman"/>
                <w:sz w:val="24"/>
              </w:rPr>
              <w:t>2690.48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 w:hAnsi="仿宋" w:eastAsia="仿宋" w:cs="Times New Roman"/>
                <w:sz w:val="24"/>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 w:hAnsi="仿宋" w:eastAsia="仿宋" w:cs="Times New Roman"/>
                <w:sz w:val="24"/>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 w:hAnsi="仿宋" w:eastAsia="仿宋" w:cs="Times New Roman"/>
                <w:sz w:val="24"/>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 w:hAnsi="仿宋" w:eastAsia="仿宋" w:cs="Times New Roman"/>
                <w:sz w:val="24"/>
              </w:rPr>
            </w:pPr>
            <w:r>
              <w:rPr>
                <w:rFonts w:hint="eastAsia" w:ascii="仿宋" w:hAnsi="仿宋" w:eastAsia="仿宋" w:cs="Times New Roman"/>
                <w:sz w:val="24"/>
              </w:rPr>
              <w:t>1297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5ADB0"/>
    <w:multiLevelType w:val="singleLevel"/>
    <w:tmpl w:val="9E95ADB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ZTE5OTU2NzlhMzVjZGRjZjhhYzQxOGRhNzMzYmI4YjIifQ=="/>
  </w:docVars>
  <w:rsids>
    <w:rsidRoot w:val="00D347CC"/>
    <w:rsid w:val="000050DD"/>
    <w:rsid w:val="000261B2"/>
    <w:rsid w:val="000D16EE"/>
    <w:rsid w:val="00101E56"/>
    <w:rsid w:val="001F687F"/>
    <w:rsid w:val="00256FAD"/>
    <w:rsid w:val="00262092"/>
    <w:rsid w:val="002E6E42"/>
    <w:rsid w:val="003073D9"/>
    <w:rsid w:val="00353F80"/>
    <w:rsid w:val="003909CD"/>
    <w:rsid w:val="00391E11"/>
    <w:rsid w:val="003F44D0"/>
    <w:rsid w:val="003F732C"/>
    <w:rsid w:val="00406D17"/>
    <w:rsid w:val="00424828"/>
    <w:rsid w:val="00457F81"/>
    <w:rsid w:val="004A0E3D"/>
    <w:rsid w:val="004A54AA"/>
    <w:rsid w:val="004E0A4F"/>
    <w:rsid w:val="00507F82"/>
    <w:rsid w:val="0053255B"/>
    <w:rsid w:val="00536CE0"/>
    <w:rsid w:val="005A34F6"/>
    <w:rsid w:val="00611D60"/>
    <w:rsid w:val="00682F94"/>
    <w:rsid w:val="006A6CCE"/>
    <w:rsid w:val="006B0048"/>
    <w:rsid w:val="0070629A"/>
    <w:rsid w:val="00774782"/>
    <w:rsid w:val="007F53D3"/>
    <w:rsid w:val="008552EF"/>
    <w:rsid w:val="008F2064"/>
    <w:rsid w:val="009617ED"/>
    <w:rsid w:val="00966751"/>
    <w:rsid w:val="009832FD"/>
    <w:rsid w:val="009A1028"/>
    <w:rsid w:val="009E210D"/>
    <w:rsid w:val="00A00873"/>
    <w:rsid w:val="00A30AC3"/>
    <w:rsid w:val="00B80935"/>
    <w:rsid w:val="00C25C62"/>
    <w:rsid w:val="00C51DF2"/>
    <w:rsid w:val="00D347CC"/>
    <w:rsid w:val="00DC0B47"/>
    <w:rsid w:val="00E375C8"/>
    <w:rsid w:val="00E46D39"/>
    <w:rsid w:val="00E771B9"/>
    <w:rsid w:val="00E84794"/>
    <w:rsid w:val="00ED3546"/>
    <w:rsid w:val="00EE07AC"/>
    <w:rsid w:val="0AC86BF9"/>
    <w:rsid w:val="0BAC1DC6"/>
    <w:rsid w:val="140E413A"/>
    <w:rsid w:val="258C55E8"/>
    <w:rsid w:val="27832E1A"/>
    <w:rsid w:val="280E547C"/>
    <w:rsid w:val="29831744"/>
    <w:rsid w:val="33DF6B01"/>
    <w:rsid w:val="419D78FE"/>
    <w:rsid w:val="4D273207"/>
    <w:rsid w:val="57B14533"/>
    <w:rsid w:val="67237A6F"/>
    <w:rsid w:val="6A1526D6"/>
    <w:rsid w:val="6C0F4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40"/>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3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table" w:styleId="9">
    <w:name w:val="Table Grid"/>
    <w:basedOn w:val="8"/>
    <w:uiPriority w:val="0"/>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4">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5">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4">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5">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6">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7">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1">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TOC 2"/>
    <w:basedOn w:val="1"/>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36">
    <w:name w:val="TOC 3"/>
    <w:basedOn w:val="1"/>
    <w:qFormat/>
    <w:uiPriority w:val="0"/>
    <w:pPr>
      <w:widowControl/>
      <w:ind w:left="480"/>
      <w:jc w:val="left"/>
    </w:pPr>
    <w:rPr>
      <w:rFonts w:ascii="Times New Roman" w:hAnsi="Times New Roman" w:eastAsia="Times New Roman" w:cs="Times New Roman"/>
      <w:kern w:val="0"/>
      <w:sz w:val="24"/>
      <w:szCs w:val="24"/>
      <w:lang w:eastAsia="uk-UA"/>
    </w:rPr>
  </w:style>
  <w:style w:type="paragraph" w:customStyle="1" w:styleId="37">
    <w:name w:val="TOC 4"/>
    <w:basedOn w:val="1"/>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38">
    <w:name w:val="TOC 1"/>
    <w:basedOn w:val="1"/>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 w:type="character" w:customStyle="1" w:styleId="39">
    <w:name w:val="页眉 Char"/>
    <w:basedOn w:val="10"/>
    <w:link w:val="4"/>
    <w:qFormat/>
    <w:uiPriority w:val="99"/>
    <w:rPr>
      <w:kern w:val="2"/>
      <w:sz w:val="18"/>
      <w:szCs w:val="18"/>
    </w:rPr>
  </w:style>
  <w:style w:type="character" w:customStyle="1" w:styleId="40">
    <w:name w:val="页脚 Char"/>
    <w:basedOn w:val="10"/>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17053</Words>
  <Characters>18320</Characters>
  <Lines>127</Lines>
  <Paragraphs>35</Paragraphs>
  <TotalTime>10</TotalTime>
  <ScaleCrop>false</ScaleCrop>
  <LinksUpToDate>false</LinksUpToDate>
  <CharactersWithSpaces>18451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夢幻泡影</cp:lastModifiedBy>
  <cp:lastPrinted>2018-01-30T06:12:00Z</cp:lastPrinted>
  <dcterms:modified xsi:type="dcterms:W3CDTF">2023-11-06T04:00:25Z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D15822D3D5A940978C1F8C388C3E86AF</vt:lpwstr>
  </property>
</Properties>
</file>